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B5" w:rsidRPr="00DC26A4" w:rsidRDefault="00552C83" w:rsidP="00DC26A4">
      <w:pPr>
        <w:spacing w:after="0" w:line="360" w:lineRule="auto"/>
        <w:rPr>
          <w:b/>
          <w:sz w:val="24"/>
          <w:szCs w:val="24"/>
        </w:rPr>
      </w:pPr>
      <w:bookmarkStart w:id="0" w:name="_GoBack"/>
      <w:bookmarkEnd w:id="0"/>
      <w:r w:rsidRPr="00DC26A4">
        <w:rPr>
          <w:b/>
          <w:sz w:val="24"/>
          <w:szCs w:val="24"/>
        </w:rPr>
        <w:t>2</w:t>
      </w:r>
      <w:r w:rsidR="00404D78" w:rsidRPr="00DC26A4">
        <w:rPr>
          <w:b/>
          <w:sz w:val="24"/>
          <w:szCs w:val="24"/>
        </w:rPr>
        <w:t xml:space="preserve">: </w:t>
      </w:r>
      <w:r w:rsidR="00287FB5" w:rsidRPr="00DC26A4">
        <w:rPr>
          <w:b/>
          <w:sz w:val="24"/>
          <w:szCs w:val="24"/>
        </w:rPr>
        <w:t>What is theological education?</w:t>
      </w:r>
    </w:p>
    <w:p w:rsidR="0089702D" w:rsidRPr="00DC26A4" w:rsidRDefault="0089702D" w:rsidP="00DC26A4">
      <w:pPr>
        <w:spacing w:after="0" w:line="360" w:lineRule="auto"/>
        <w:rPr>
          <w:b/>
          <w:sz w:val="24"/>
          <w:szCs w:val="24"/>
        </w:rPr>
      </w:pPr>
      <w:proofErr w:type="spellStart"/>
      <w:r w:rsidRPr="00DC26A4">
        <w:rPr>
          <w:b/>
          <w:sz w:val="24"/>
          <w:szCs w:val="24"/>
        </w:rPr>
        <w:t>Alister</w:t>
      </w:r>
      <w:proofErr w:type="spellEnd"/>
      <w:r w:rsidRPr="00DC26A4">
        <w:rPr>
          <w:b/>
          <w:sz w:val="24"/>
          <w:szCs w:val="24"/>
        </w:rPr>
        <w:t xml:space="preserve"> McGrath</w:t>
      </w:r>
    </w:p>
    <w:p w:rsidR="0089702D" w:rsidRPr="00DC26A4" w:rsidRDefault="0089702D" w:rsidP="00DC26A4">
      <w:pPr>
        <w:spacing w:after="0" w:line="360" w:lineRule="auto"/>
        <w:rPr>
          <w:sz w:val="24"/>
          <w:szCs w:val="24"/>
        </w:rPr>
      </w:pPr>
    </w:p>
    <w:p w:rsidR="0089702D" w:rsidRPr="00DC26A4" w:rsidRDefault="0089702D" w:rsidP="00DC26A4">
      <w:pPr>
        <w:spacing w:after="0" w:line="360" w:lineRule="auto"/>
        <w:rPr>
          <w:sz w:val="24"/>
          <w:szCs w:val="24"/>
        </w:rPr>
      </w:pPr>
    </w:p>
    <w:p w:rsidR="00CC7308" w:rsidRPr="00DC26A4" w:rsidRDefault="00C62E52" w:rsidP="00DC26A4">
      <w:pPr>
        <w:spacing w:after="0" w:line="360" w:lineRule="auto"/>
        <w:rPr>
          <w:sz w:val="24"/>
          <w:szCs w:val="24"/>
        </w:rPr>
      </w:pPr>
      <w:r>
        <w:rPr>
          <w:sz w:val="24"/>
          <w:szCs w:val="24"/>
        </w:rPr>
        <w:t xml:space="preserve">Let me begin this second lecture by emphasising that </w:t>
      </w:r>
      <w:r w:rsidR="00D35663" w:rsidRPr="00DC26A4">
        <w:rPr>
          <w:sz w:val="24"/>
          <w:szCs w:val="24"/>
        </w:rPr>
        <w:t xml:space="preserve">I regard theological education as being exciting, demanding, and essential – both for the wellbeing of churches as institutions, and for the personal development and growth of individual congregation members. </w:t>
      </w:r>
      <w:r w:rsidR="00CC7308" w:rsidRPr="00DC26A4">
        <w:rPr>
          <w:sz w:val="24"/>
          <w:szCs w:val="24"/>
        </w:rPr>
        <w:t>It is not my intention in this lecture to offer a global theory of theological education, but to provide stimulus to you as you reflect on your own situations, institutions, and concerns. But I hope that I will be able to offer some reflections that may help you as you seek to advance the agendas and interests of your institutions.</w:t>
      </w:r>
    </w:p>
    <w:p w:rsidR="00CC7308" w:rsidRPr="00DC26A4" w:rsidRDefault="00CC7308" w:rsidP="00DC26A4">
      <w:pPr>
        <w:spacing w:after="0" w:line="360" w:lineRule="auto"/>
        <w:rPr>
          <w:sz w:val="24"/>
          <w:szCs w:val="24"/>
        </w:rPr>
      </w:pPr>
    </w:p>
    <w:p w:rsidR="005035E4" w:rsidRPr="00DC26A4" w:rsidRDefault="005035E4" w:rsidP="00DC26A4">
      <w:pPr>
        <w:spacing w:after="0" w:line="360" w:lineRule="auto"/>
        <w:rPr>
          <w:sz w:val="24"/>
          <w:szCs w:val="24"/>
        </w:rPr>
      </w:pPr>
      <w:r w:rsidRPr="00DC26A4">
        <w:rPr>
          <w:sz w:val="24"/>
          <w:szCs w:val="24"/>
        </w:rPr>
        <w:t xml:space="preserve">It is not easy to define “theological education”, partly </w:t>
      </w:r>
      <w:r w:rsidR="003F5AEB">
        <w:rPr>
          <w:sz w:val="24"/>
          <w:szCs w:val="24"/>
        </w:rPr>
        <w:t xml:space="preserve">on account </w:t>
      </w:r>
      <w:r w:rsidRPr="00DC26A4">
        <w:rPr>
          <w:sz w:val="24"/>
          <w:szCs w:val="24"/>
        </w:rPr>
        <w:t xml:space="preserve">of the diversity of institutions, audiences, pedagogies, and envisaged outcomes. </w:t>
      </w:r>
      <w:r w:rsidR="003F5AEB">
        <w:rPr>
          <w:sz w:val="24"/>
          <w:szCs w:val="24"/>
        </w:rPr>
        <w:t xml:space="preserve">We noted some of these issues in the previous lecture. </w:t>
      </w:r>
      <w:r w:rsidRPr="00DC26A4">
        <w:rPr>
          <w:sz w:val="24"/>
          <w:szCs w:val="24"/>
        </w:rPr>
        <w:t xml:space="preserve">A purely descriptive account of what has been understood by “theological education” over the last few hundred </w:t>
      </w:r>
      <w:proofErr w:type="gramStart"/>
      <w:r w:rsidRPr="00DC26A4">
        <w:rPr>
          <w:sz w:val="24"/>
          <w:szCs w:val="24"/>
        </w:rPr>
        <w:t>years</w:t>
      </w:r>
      <w:proofErr w:type="gramEnd"/>
      <w:r w:rsidRPr="00DC26A4">
        <w:rPr>
          <w:sz w:val="24"/>
          <w:szCs w:val="24"/>
        </w:rPr>
        <w:t xml:space="preserve"> points to a very wide range of possibilities. On the whole, throughout the twentieth century evangelicalism has chosen to emulate the dominant models of theological education that became normative within Protestantism. These tend to treat theology as an essentially academic subject, to which various practical skills are added – such as pastoral care or preaching. This often means that institutions of evangelical theological education are established with links to universities.</w:t>
      </w:r>
    </w:p>
    <w:p w:rsidR="005035E4" w:rsidRPr="00DC26A4" w:rsidRDefault="005035E4" w:rsidP="00DC26A4">
      <w:pPr>
        <w:spacing w:after="0" w:line="360" w:lineRule="auto"/>
        <w:rPr>
          <w:sz w:val="24"/>
          <w:szCs w:val="24"/>
        </w:rPr>
      </w:pPr>
    </w:p>
    <w:p w:rsidR="00817F1A" w:rsidRPr="00DC26A4" w:rsidRDefault="005035E4" w:rsidP="00DC26A4">
      <w:pPr>
        <w:spacing w:after="0" w:line="360" w:lineRule="auto"/>
        <w:rPr>
          <w:rFonts w:cstheme="minorHAnsi"/>
          <w:b/>
          <w:sz w:val="24"/>
          <w:szCs w:val="24"/>
        </w:rPr>
      </w:pPr>
      <w:r w:rsidRPr="00DC26A4">
        <w:rPr>
          <w:sz w:val="24"/>
          <w:szCs w:val="24"/>
        </w:rPr>
        <w:t>Edward Farley has identified a trend which is associated with this development, which remains important for our reflections on theological education today. For Farley, theological education has become fragmented, offering a pastiche of ideas and values which are only loosely held together, often by pragmatic considerations rather than a secure theoretical foundation.</w:t>
      </w:r>
    </w:p>
    <w:p w:rsidR="00817F1A" w:rsidRPr="00DC26A4" w:rsidRDefault="00817F1A" w:rsidP="00DC26A4">
      <w:pPr>
        <w:spacing w:after="0" w:line="360" w:lineRule="auto"/>
        <w:rPr>
          <w:rFonts w:cstheme="minorHAnsi"/>
          <w:b/>
          <w:sz w:val="24"/>
          <w:szCs w:val="24"/>
        </w:rPr>
      </w:pPr>
    </w:p>
    <w:p w:rsidR="00D35663" w:rsidRPr="00DC26A4" w:rsidRDefault="005035E4" w:rsidP="00DC26A4">
      <w:pPr>
        <w:spacing w:after="0" w:line="360" w:lineRule="auto"/>
        <w:rPr>
          <w:sz w:val="24"/>
          <w:szCs w:val="24"/>
        </w:rPr>
      </w:pPr>
      <w:r w:rsidRPr="00DC26A4">
        <w:rPr>
          <w:sz w:val="24"/>
          <w:szCs w:val="24"/>
        </w:rPr>
        <w:t>Theology, Farley notes, easily changes from being a personally appropriated knowledge of the Christian faith to an “objectified” or abstract body of theoretical knowledge, and then to a body of knowledge proper to professional activity.</w:t>
      </w:r>
      <w:r w:rsidR="007743C1" w:rsidRPr="00DC26A4">
        <w:rPr>
          <w:sz w:val="24"/>
          <w:szCs w:val="24"/>
        </w:rPr>
        <w:t xml:space="preserve"> Although there is more that needs to be said, I think Farle</w:t>
      </w:r>
      <w:r w:rsidR="00D35663" w:rsidRPr="00DC26A4">
        <w:rPr>
          <w:sz w:val="24"/>
          <w:szCs w:val="24"/>
        </w:rPr>
        <w:t>y makes some fair points.</w:t>
      </w:r>
    </w:p>
    <w:p w:rsidR="00D35663" w:rsidRPr="00DC26A4" w:rsidRDefault="00D35663" w:rsidP="00DC26A4">
      <w:pPr>
        <w:spacing w:after="0" w:line="360" w:lineRule="auto"/>
        <w:rPr>
          <w:sz w:val="24"/>
          <w:szCs w:val="24"/>
        </w:rPr>
      </w:pPr>
    </w:p>
    <w:p w:rsidR="005035E4" w:rsidRPr="00DC26A4" w:rsidRDefault="007743C1" w:rsidP="00DC26A4">
      <w:pPr>
        <w:spacing w:after="0" w:line="360" w:lineRule="auto"/>
        <w:rPr>
          <w:sz w:val="24"/>
          <w:szCs w:val="24"/>
        </w:rPr>
      </w:pPr>
      <w:r w:rsidRPr="00DC26A4">
        <w:rPr>
          <w:sz w:val="24"/>
          <w:szCs w:val="24"/>
        </w:rPr>
        <w:t xml:space="preserve">One of the greatest problems with theological education in mainline churches is that it often </w:t>
      </w:r>
      <w:r w:rsidR="00D35663" w:rsidRPr="00DC26A4">
        <w:rPr>
          <w:sz w:val="24"/>
          <w:szCs w:val="24"/>
        </w:rPr>
        <w:t xml:space="preserve">involves removing students from everyday life, and inserts them into a community which models itself on </w:t>
      </w:r>
      <w:r w:rsidR="003F5AEB">
        <w:rPr>
          <w:sz w:val="24"/>
          <w:szCs w:val="24"/>
        </w:rPr>
        <w:t xml:space="preserve">some form of </w:t>
      </w:r>
      <w:r w:rsidR="00D35663" w:rsidRPr="00DC26A4">
        <w:rPr>
          <w:sz w:val="24"/>
          <w:szCs w:val="24"/>
        </w:rPr>
        <w:t>monasticism. These communities focus on “shaping” or “forming” their students to fit a church culture. They are required to learn its history, vocabulary, and traditions. This means that students receive an education which tends to focus</w:t>
      </w:r>
      <w:r w:rsidRPr="00DC26A4">
        <w:rPr>
          <w:sz w:val="24"/>
          <w:szCs w:val="24"/>
        </w:rPr>
        <w:t xml:space="preserve"> on immersion in a “church culture”, which has two negative consequences:</w:t>
      </w:r>
    </w:p>
    <w:p w:rsidR="007743C1" w:rsidRPr="00DC26A4" w:rsidRDefault="007743C1" w:rsidP="00DC26A4">
      <w:pPr>
        <w:pStyle w:val="ListParagraph"/>
        <w:numPr>
          <w:ilvl w:val="0"/>
          <w:numId w:val="1"/>
        </w:numPr>
        <w:spacing w:after="0" w:line="360" w:lineRule="auto"/>
        <w:rPr>
          <w:sz w:val="24"/>
          <w:szCs w:val="24"/>
        </w:rPr>
      </w:pPr>
      <w:r w:rsidRPr="00DC26A4">
        <w:rPr>
          <w:sz w:val="24"/>
          <w:szCs w:val="24"/>
        </w:rPr>
        <w:t>It seems to give priority to a knowledge of the history, values and customs of an institution over and above the gospel itself;</w:t>
      </w:r>
    </w:p>
    <w:p w:rsidR="007743C1" w:rsidRDefault="007743C1" w:rsidP="00DC26A4">
      <w:pPr>
        <w:pStyle w:val="ListParagraph"/>
        <w:numPr>
          <w:ilvl w:val="0"/>
          <w:numId w:val="1"/>
        </w:numPr>
        <w:spacing w:after="0" w:line="360" w:lineRule="auto"/>
        <w:rPr>
          <w:sz w:val="24"/>
          <w:szCs w:val="24"/>
        </w:rPr>
      </w:pPr>
      <w:r w:rsidRPr="00DC26A4">
        <w:rPr>
          <w:sz w:val="24"/>
          <w:szCs w:val="24"/>
        </w:rPr>
        <w:t xml:space="preserve">It needlessly </w:t>
      </w:r>
      <w:r w:rsidR="00157BBF" w:rsidRPr="00DC26A4">
        <w:rPr>
          <w:sz w:val="24"/>
          <w:szCs w:val="24"/>
        </w:rPr>
        <w:t>reinforces the barrier between the churches and secular culture, and makes it difficult for clergy and other Christian workers to bridge the gap between the church and the world. As apologetics and evangelism become of increasing importance, I believe that this is a cause for real concern.</w:t>
      </w:r>
    </w:p>
    <w:p w:rsidR="003F5AEB" w:rsidRDefault="003F5AEB" w:rsidP="003F5AEB">
      <w:pPr>
        <w:spacing w:after="0" w:line="360" w:lineRule="auto"/>
        <w:rPr>
          <w:sz w:val="24"/>
          <w:szCs w:val="24"/>
        </w:rPr>
      </w:pPr>
    </w:p>
    <w:p w:rsidR="003F5AEB" w:rsidRPr="003F5AEB" w:rsidRDefault="003F5AEB" w:rsidP="003F5AEB">
      <w:pPr>
        <w:spacing w:after="0" w:line="360" w:lineRule="auto"/>
        <w:rPr>
          <w:sz w:val="24"/>
          <w:szCs w:val="24"/>
        </w:rPr>
      </w:pPr>
      <w:r>
        <w:rPr>
          <w:sz w:val="24"/>
          <w:szCs w:val="24"/>
        </w:rPr>
        <w:t xml:space="preserve">The real issue concerns how institutions of theological education can be </w:t>
      </w:r>
      <w:proofErr w:type="spellStart"/>
      <w:r w:rsidRPr="003F5AEB">
        <w:rPr>
          <w:i/>
          <w:sz w:val="24"/>
          <w:szCs w:val="24"/>
        </w:rPr>
        <w:t>ecclesially</w:t>
      </w:r>
      <w:proofErr w:type="spellEnd"/>
      <w:r w:rsidRPr="003F5AEB">
        <w:rPr>
          <w:i/>
          <w:sz w:val="24"/>
          <w:szCs w:val="24"/>
        </w:rPr>
        <w:t xml:space="preserve"> embedded yet socially engaged</w:t>
      </w:r>
      <w:r>
        <w:rPr>
          <w:sz w:val="24"/>
          <w:szCs w:val="24"/>
        </w:rPr>
        <w:t xml:space="preserve">. In other words, they need to be rooted in a church tradition, while at the same time being enabled to engage with contemporary culture. Too often, immersion in a church cultural leads to disengagement. In serious cases, it can lead to withdrawal into a ghetto of church culture, which is totally out of touch with mainline culture outside its bounds. This often expresses itself </w:t>
      </w:r>
      <w:proofErr w:type="gramStart"/>
      <w:r>
        <w:rPr>
          <w:sz w:val="24"/>
          <w:szCs w:val="24"/>
        </w:rPr>
        <w:t>in a “</w:t>
      </w:r>
      <w:proofErr w:type="gramEnd"/>
      <w:r>
        <w:rPr>
          <w:sz w:val="24"/>
          <w:szCs w:val="24"/>
        </w:rPr>
        <w:t>fussiness” about the fine details of church life, which is alienating to many. This problem is easily avoided – and the best way of avoiding it is to be aware of how it can arise.</w:t>
      </w:r>
    </w:p>
    <w:p w:rsidR="005035E4" w:rsidRPr="00DC26A4" w:rsidRDefault="005035E4" w:rsidP="00DC26A4">
      <w:pPr>
        <w:spacing w:after="0" w:line="360" w:lineRule="auto"/>
        <w:rPr>
          <w:sz w:val="24"/>
          <w:szCs w:val="24"/>
        </w:rPr>
      </w:pPr>
    </w:p>
    <w:p w:rsidR="00FB7F75" w:rsidRPr="00DC26A4" w:rsidRDefault="003F5AEB" w:rsidP="00DC26A4">
      <w:pPr>
        <w:spacing w:after="0" w:line="360" w:lineRule="auto"/>
        <w:rPr>
          <w:sz w:val="24"/>
          <w:szCs w:val="24"/>
        </w:rPr>
      </w:pPr>
      <w:r>
        <w:rPr>
          <w:sz w:val="24"/>
          <w:szCs w:val="24"/>
        </w:rPr>
        <w:t xml:space="preserve">In reflecting further on this theme, it will be </w:t>
      </w:r>
      <w:r w:rsidR="005035E4" w:rsidRPr="00DC26A4">
        <w:rPr>
          <w:sz w:val="24"/>
          <w:szCs w:val="24"/>
        </w:rPr>
        <w:t xml:space="preserve">useful to </w:t>
      </w:r>
      <w:r>
        <w:rPr>
          <w:sz w:val="24"/>
          <w:szCs w:val="24"/>
        </w:rPr>
        <w:t xml:space="preserve">look </w:t>
      </w:r>
      <w:r w:rsidR="005035E4" w:rsidRPr="00DC26A4">
        <w:rPr>
          <w:sz w:val="24"/>
          <w:szCs w:val="24"/>
        </w:rPr>
        <w:t>briefly at the history of Protestant theological education since the sixteenth century, identifying some highlights which remain relevant to us today.</w:t>
      </w:r>
      <w:r>
        <w:rPr>
          <w:sz w:val="24"/>
          <w:szCs w:val="24"/>
        </w:rPr>
        <w:t xml:space="preserve"> </w:t>
      </w:r>
      <w:r w:rsidR="00FB7F75" w:rsidRPr="00DC26A4">
        <w:rPr>
          <w:sz w:val="24"/>
          <w:szCs w:val="24"/>
        </w:rPr>
        <w:t xml:space="preserve">As it began to gain influence in </w:t>
      </w:r>
      <w:proofErr w:type="gramStart"/>
      <w:r w:rsidR="00FB7F75" w:rsidRPr="00DC26A4">
        <w:rPr>
          <w:sz w:val="24"/>
          <w:szCs w:val="24"/>
        </w:rPr>
        <w:t>western</w:t>
      </w:r>
      <w:proofErr w:type="gramEnd"/>
      <w:r w:rsidR="00FB7F75" w:rsidRPr="00DC26A4">
        <w:rPr>
          <w:sz w:val="24"/>
          <w:szCs w:val="24"/>
        </w:rPr>
        <w:t xml:space="preserve"> Europe, Protestantism discovered the importance of education. Populations had to be </w:t>
      </w:r>
      <w:r w:rsidR="00D35663" w:rsidRPr="00DC26A4">
        <w:rPr>
          <w:sz w:val="24"/>
          <w:szCs w:val="24"/>
        </w:rPr>
        <w:t>helped</w:t>
      </w:r>
      <w:r w:rsidR="00FB7F75" w:rsidRPr="00DC26A4">
        <w:rPr>
          <w:sz w:val="24"/>
          <w:szCs w:val="24"/>
        </w:rPr>
        <w:t xml:space="preserve"> to gain a firm grasp of the principles of the </w:t>
      </w:r>
      <w:r>
        <w:rPr>
          <w:sz w:val="24"/>
          <w:szCs w:val="24"/>
        </w:rPr>
        <w:t xml:space="preserve">dynamic </w:t>
      </w:r>
      <w:r w:rsidR="00FB7F75" w:rsidRPr="00DC26A4">
        <w:rPr>
          <w:sz w:val="24"/>
          <w:szCs w:val="24"/>
        </w:rPr>
        <w:t>new form of Christianity that was gaining influence and momentum. The development of the educational form of the “Catechism” was an important response to this need: congregations could be encouraged to learn these by heart. Luther’s Catechisms of 1529 proved particularly effective, and established the “question-and-answer” format as normative.</w:t>
      </w:r>
      <w:r w:rsidR="005035E4" w:rsidRPr="00DC26A4">
        <w:rPr>
          <w:sz w:val="24"/>
          <w:szCs w:val="24"/>
        </w:rPr>
        <w:t xml:space="preserve"> Yet more was clearly required.</w:t>
      </w:r>
    </w:p>
    <w:p w:rsidR="00901FD9" w:rsidRPr="00DC26A4" w:rsidRDefault="00901FD9" w:rsidP="00DC26A4">
      <w:pPr>
        <w:spacing w:after="0" w:line="360" w:lineRule="auto"/>
        <w:rPr>
          <w:sz w:val="24"/>
          <w:szCs w:val="24"/>
        </w:rPr>
      </w:pPr>
    </w:p>
    <w:p w:rsidR="00FB7F75" w:rsidRPr="00DC26A4" w:rsidRDefault="00FB7F75" w:rsidP="00DC26A4">
      <w:pPr>
        <w:spacing w:after="0" w:line="360" w:lineRule="auto"/>
        <w:rPr>
          <w:sz w:val="24"/>
          <w:szCs w:val="24"/>
          <w:lang w:val="en-US"/>
        </w:rPr>
      </w:pPr>
      <w:r w:rsidRPr="00DC26A4">
        <w:rPr>
          <w:sz w:val="24"/>
          <w:szCs w:val="24"/>
          <w:lang w:val="en-US"/>
        </w:rPr>
        <w:t xml:space="preserve">Yet the most significant way in which Protestantism shaped education was through the founding of colleges, seminaries and universities. Recognizing the importance of well-educated pastors and other church leaders, Protestantism saw investment in education as essential to its survival. Calvin realized the need for such a facility in 1541; due to political disagreements within </w:t>
      </w:r>
      <w:proofErr w:type="gramStart"/>
      <w:r w:rsidRPr="00DC26A4">
        <w:rPr>
          <w:sz w:val="24"/>
          <w:szCs w:val="24"/>
          <w:lang w:val="en-US"/>
        </w:rPr>
        <w:t>Geneva,</w:t>
      </w:r>
      <w:proofErr w:type="gramEnd"/>
      <w:r w:rsidRPr="00DC26A4">
        <w:rPr>
          <w:sz w:val="24"/>
          <w:szCs w:val="24"/>
          <w:lang w:val="en-US"/>
        </w:rPr>
        <w:t xml:space="preserve"> however, it was not until 1559 that the Geneva Academy was inaugurated, with Theodore </w:t>
      </w:r>
      <w:proofErr w:type="spellStart"/>
      <w:r w:rsidRPr="00DC26A4">
        <w:rPr>
          <w:sz w:val="24"/>
          <w:szCs w:val="24"/>
          <w:lang w:val="en-US"/>
        </w:rPr>
        <w:t>Beza</w:t>
      </w:r>
      <w:proofErr w:type="spellEnd"/>
      <w:r w:rsidRPr="00DC26A4">
        <w:rPr>
          <w:sz w:val="24"/>
          <w:szCs w:val="24"/>
          <w:lang w:val="en-US"/>
        </w:rPr>
        <w:t xml:space="preserve"> as its first rector. </w:t>
      </w:r>
    </w:p>
    <w:p w:rsidR="00FB7F75" w:rsidRPr="00DC26A4" w:rsidRDefault="00FB7F75" w:rsidP="00DC26A4">
      <w:pPr>
        <w:spacing w:after="0" w:line="360" w:lineRule="auto"/>
        <w:rPr>
          <w:sz w:val="24"/>
          <w:szCs w:val="24"/>
          <w:lang w:val="en-US"/>
        </w:rPr>
      </w:pPr>
    </w:p>
    <w:p w:rsidR="00FB7F75" w:rsidRPr="00DC26A4" w:rsidRDefault="00FB7F75" w:rsidP="00DC26A4">
      <w:pPr>
        <w:spacing w:after="0" w:line="360" w:lineRule="auto"/>
        <w:rPr>
          <w:sz w:val="24"/>
          <w:szCs w:val="24"/>
          <w:lang w:val="en-US"/>
        </w:rPr>
      </w:pPr>
      <w:r w:rsidRPr="00DC26A4">
        <w:rPr>
          <w:sz w:val="24"/>
          <w:szCs w:val="24"/>
          <w:lang w:val="en-US"/>
        </w:rPr>
        <w:t xml:space="preserve">As Calvinism became an international movement, </w:t>
      </w:r>
      <w:r w:rsidR="00DC26A4">
        <w:rPr>
          <w:sz w:val="24"/>
          <w:szCs w:val="24"/>
          <w:lang w:val="en-US"/>
        </w:rPr>
        <w:t xml:space="preserve">this vision of education was widely adopted. </w:t>
      </w:r>
      <w:r w:rsidRPr="00DC26A4">
        <w:rPr>
          <w:sz w:val="24"/>
          <w:szCs w:val="24"/>
          <w:lang w:val="en-US"/>
        </w:rPr>
        <w:t xml:space="preserve">The founding of what became known as “Harvard College” in 1636 established the intellectual hegemony of Calvinism in New England. It would be followed by a series of colleges and seminaries, dedicated to the propagation of the Protestant faith in church and society. Form its outset, Harvard saw itself as dedicated to the goal of a Protestant education. As the Statutes of 1646 put it, the chief object of its education would be “to know God and Jesus Christ which is eternal life”. All this was admirably summarized in the college’s motto of 1692: </w:t>
      </w:r>
      <w:proofErr w:type="spellStart"/>
      <w:r w:rsidRPr="00DC26A4">
        <w:rPr>
          <w:i/>
          <w:sz w:val="24"/>
          <w:szCs w:val="24"/>
          <w:lang w:val="en-US"/>
        </w:rPr>
        <w:t>Veritas</w:t>
      </w:r>
      <w:proofErr w:type="spellEnd"/>
      <w:r w:rsidRPr="00DC26A4">
        <w:rPr>
          <w:i/>
          <w:sz w:val="24"/>
          <w:szCs w:val="24"/>
          <w:lang w:val="en-US"/>
        </w:rPr>
        <w:t xml:space="preserve"> Christo </w:t>
      </w:r>
      <w:proofErr w:type="gramStart"/>
      <w:r w:rsidRPr="00DC26A4">
        <w:rPr>
          <w:i/>
          <w:sz w:val="24"/>
          <w:szCs w:val="24"/>
          <w:lang w:val="en-US"/>
        </w:rPr>
        <w:t>et</w:t>
      </w:r>
      <w:proofErr w:type="gramEnd"/>
      <w:r w:rsidRPr="00DC26A4">
        <w:rPr>
          <w:i/>
          <w:sz w:val="24"/>
          <w:szCs w:val="24"/>
          <w:lang w:val="en-US"/>
        </w:rPr>
        <w:t xml:space="preserve"> Ecclesiae</w:t>
      </w:r>
      <w:r w:rsidRPr="00DC26A4">
        <w:rPr>
          <w:sz w:val="24"/>
          <w:szCs w:val="24"/>
          <w:lang w:val="en-US"/>
        </w:rPr>
        <w:t xml:space="preserve"> (“Truth for Christ and the Church”). Other schools followed this trend, usually emphasizing denominational </w:t>
      </w:r>
      <w:proofErr w:type="spellStart"/>
      <w:r w:rsidRPr="00DC26A4">
        <w:rPr>
          <w:sz w:val="24"/>
          <w:szCs w:val="24"/>
          <w:lang w:val="en-US"/>
        </w:rPr>
        <w:t>distinctives</w:t>
      </w:r>
      <w:proofErr w:type="spellEnd"/>
      <w:r w:rsidRPr="00DC26A4">
        <w:rPr>
          <w:sz w:val="24"/>
          <w:szCs w:val="24"/>
          <w:lang w:val="en-US"/>
        </w:rPr>
        <w:t xml:space="preserve"> alongside a general desire to deepen personal faith and piety.</w:t>
      </w:r>
    </w:p>
    <w:p w:rsidR="00FB7F75" w:rsidRPr="00DC26A4" w:rsidRDefault="00FB7F75" w:rsidP="00DC26A4">
      <w:pPr>
        <w:spacing w:after="0" w:line="360" w:lineRule="auto"/>
        <w:rPr>
          <w:sz w:val="24"/>
          <w:szCs w:val="24"/>
          <w:lang w:val="en-US"/>
        </w:rPr>
      </w:pPr>
    </w:p>
    <w:p w:rsidR="00FB7F75" w:rsidRPr="00DC26A4" w:rsidRDefault="00FB7F75" w:rsidP="00DC26A4">
      <w:pPr>
        <w:spacing w:after="0" w:line="360" w:lineRule="auto"/>
        <w:rPr>
          <w:sz w:val="24"/>
          <w:szCs w:val="24"/>
          <w:lang w:val="en-US"/>
        </w:rPr>
      </w:pPr>
      <w:r w:rsidRPr="00DC26A4">
        <w:rPr>
          <w:sz w:val="24"/>
          <w:szCs w:val="24"/>
          <w:lang w:val="en-US"/>
        </w:rPr>
        <w:t xml:space="preserve">It was a powerful, yet ultimately vulnerable, vision. The </w:t>
      </w:r>
      <w:r w:rsidR="00DC26A4">
        <w:rPr>
          <w:sz w:val="24"/>
          <w:szCs w:val="24"/>
          <w:lang w:val="en-US"/>
        </w:rPr>
        <w:t xml:space="preserve">problems </w:t>
      </w:r>
      <w:r w:rsidRPr="00DC26A4">
        <w:rPr>
          <w:sz w:val="24"/>
          <w:szCs w:val="24"/>
          <w:lang w:val="en-US"/>
        </w:rPr>
        <w:t xml:space="preserve">began to emerge in the late nineteenth century, and especially in the twentieth, when colleges with Protestant religious foundations began to wonder whether they were prisoners of their past. Were they deterring potential applicants by their specific Protestant commitments? Might these be barriers to funding? A slow, complex, and seemingly irreversible process of secularization began, as colleges across the United States chose to marginalize their religious heritages. In a deeply symbolic move, Harvard changed its motto to the single word </w:t>
      </w:r>
      <w:proofErr w:type="spellStart"/>
      <w:r w:rsidRPr="00DC26A4">
        <w:rPr>
          <w:i/>
          <w:sz w:val="24"/>
          <w:szCs w:val="24"/>
          <w:lang w:val="en-US"/>
        </w:rPr>
        <w:t>Veritas</w:t>
      </w:r>
      <w:proofErr w:type="spellEnd"/>
      <w:r w:rsidRPr="00DC26A4">
        <w:rPr>
          <w:sz w:val="24"/>
          <w:szCs w:val="24"/>
          <w:lang w:val="en-US"/>
        </w:rPr>
        <w:t>.</w:t>
      </w:r>
      <w:r w:rsidR="003F5AEB">
        <w:rPr>
          <w:sz w:val="24"/>
          <w:szCs w:val="24"/>
          <w:lang w:val="en-US"/>
        </w:rPr>
        <w:t xml:space="preserve"> Any reference to Christ or the church was conveniently airbrushed out of the college’s motto and mission statements. This is a common pattern</w:t>
      </w:r>
      <w:r w:rsidRPr="00DC26A4">
        <w:rPr>
          <w:sz w:val="24"/>
          <w:szCs w:val="24"/>
          <w:lang w:val="en-US"/>
        </w:rPr>
        <w:t xml:space="preserve"> </w:t>
      </w:r>
      <w:proofErr w:type="gramStart"/>
      <w:r w:rsidRPr="00DC26A4">
        <w:rPr>
          <w:sz w:val="24"/>
          <w:szCs w:val="24"/>
          <w:lang w:val="en-US"/>
        </w:rPr>
        <w:t>Most</w:t>
      </w:r>
      <w:proofErr w:type="gramEnd"/>
      <w:r w:rsidR="00D35663" w:rsidRPr="00DC26A4">
        <w:rPr>
          <w:sz w:val="24"/>
          <w:szCs w:val="24"/>
          <w:lang w:val="en-US"/>
        </w:rPr>
        <w:t xml:space="preserve"> – though happily not all – American</w:t>
      </w:r>
      <w:r w:rsidRPr="00DC26A4">
        <w:rPr>
          <w:sz w:val="24"/>
          <w:szCs w:val="24"/>
          <w:lang w:val="en-US"/>
        </w:rPr>
        <w:t xml:space="preserve"> colleges and universities with specific Protestant faith commitments have now given up on these.</w:t>
      </w:r>
    </w:p>
    <w:p w:rsidR="00FB7F75" w:rsidRPr="00DC26A4" w:rsidRDefault="00FB7F75" w:rsidP="00DC26A4">
      <w:pPr>
        <w:spacing w:after="0" w:line="360" w:lineRule="auto"/>
        <w:rPr>
          <w:sz w:val="24"/>
          <w:szCs w:val="24"/>
          <w:lang w:val="en-US"/>
        </w:rPr>
      </w:pPr>
    </w:p>
    <w:p w:rsidR="00D35663" w:rsidRPr="00DC26A4" w:rsidRDefault="00FB7F75" w:rsidP="00DC26A4">
      <w:pPr>
        <w:spacing w:after="0" w:line="360" w:lineRule="auto"/>
        <w:rPr>
          <w:sz w:val="24"/>
          <w:szCs w:val="24"/>
          <w:lang w:val="en-US"/>
        </w:rPr>
      </w:pPr>
      <w:r w:rsidRPr="00DC26A4">
        <w:rPr>
          <w:sz w:val="24"/>
          <w:szCs w:val="24"/>
          <w:lang w:val="en-US"/>
        </w:rPr>
        <w:lastRenderedPageBreak/>
        <w:t>This phenomenon of institutional drift in American Protestant educational institutions has taken place at three different, though clearly interconnected levels.</w:t>
      </w:r>
      <w:r w:rsidR="00D66366" w:rsidRPr="00DC26A4">
        <w:rPr>
          <w:sz w:val="24"/>
          <w:szCs w:val="24"/>
          <w:lang w:val="en-US"/>
        </w:rPr>
        <w:t xml:space="preserve"> Each of them </w:t>
      </w:r>
      <w:r w:rsidR="003F5AEB">
        <w:rPr>
          <w:sz w:val="24"/>
          <w:szCs w:val="24"/>
          <w:lang w:val="en-US"/>
        </w:rPr>
        <w:t xml:space="preserve">is </w:t>
      </w:r>
      <w:r w:rsidR="00D66366" w:rsidRPr="00DC26A4">
        <w:rPr>
          <w:sz w:val="24"/>
          <w:szCs w:val="24"/>
          <w:lang w:val="en-US"/>
        </w:rPr>
        <w:t>relevant to those of us concerned with evangelical theological education in Europe.</w:t>
      </w:r>
    </w:p>
    <w:p w:rsidR="00817F1A" w:rsidRPr="00DC26A4" w:rsidRDefault="00817F1A" w:rsidP="00DC26A4">
      <w:pPr>
        <w:spacing w:after="0" w:line="360" w:lineRule="auto"/>
        <w:rPr>
          <w:b/>
          <w:sz w:val="24"/>
          <w:szCs w:val="24"/>
          <w:lang w:val="en-US"/>
        </w:rPr>
      </w:pPr>
    </w:p>
    <w:p w:rsidR="00FB7F75" w:rsidRPr="00DC26A4" w:rsidRDefault="00FB7F75" w:rsidP="00DC26A4">
      <w:pPr>
        <w:spacing w:after="0" w:line="360" w:lineRule="auto"/>
        <w:rPr>
          <w:sz w:val="24"/>
          <w:szCs w:val="24"/>
          <w:lang w:val="en-US"/>
        </w:rPr>
      </w:pPr>
      <w:r w:rsidRPr="00DC26A4">
        <w:rPr>
          <w:sz w:val="24"/>
          <w:szCs w:val="24"/>
          <w:lang w:val="en-US"/>
        </w:rPr>
        <w:t>1. A loss of denominational or sectional identity, in order to achieve a broader appeal within the wider Protestant community. Recent changes in seminary names are indicative of a desire to relocate institutions on conceptual maps, without necessarily changing theological identity.</w:t>
      </w:r>
      <w:r w:rsidR="00D66366" w:rsidRPr="00DC26A4">
        <w:rPr>
          <w:sz w:val="24"/>
          <w:szCs w:val="24"/>
          <w:lang w:val="en-US"/>
        </w:rPr>
        <w:t xml:space="preserve"> For example, The Protestant Episcopal Seminary in Virginia has now been renamed “Virginia Theological Seminary”.</w:t>
      </w:r>
      <w:r w:rsidR="003F5AEB">
        <w:rPr>
          <w:sz w:val="24"/>
          <w:szCs w:val="24"/>
          <w:lang w:val="en-US"/>
        </w:rPr>
        <w:t xml:space="preserve"> Many evangelical Anglican institutions in England, originally concerned specifically to train evangelical </w:t>
      </w:r>
      <w:proofErr w:type="spellStart"/>
      <w:r w:rsidR="003F5AEB">
        <w:rPr>
          <w:sz w:val="24"/>
          <w:szCs w:val="24"/>
          <w:lang w:val="en-US"/>
        </w:rPr>
        <w:t>ordinands</w:t>
      </w:r>
      <w:proofErr w:type="spellEnd"/>
      <w:r w:rsidR="003F5AEB">
        <w:rPr>
          <w:sz w:val="24"/>
          <w:szCs w:val="24"/>
          <w:lang w:val="en-US"/>
        </w:rPr>
        <w:t xml:space="preserve"> within the Church of England, are now stressing their evangelical identities, in order to attract non-Anglican students from overseas.</w:t>
      </w:r>
    </w:p>
    <w:p w:rsidR="00D35663" w:rsidRPr="00DC26A4" w:rsidRDefault="00D35663" w:rsidP="00DC26A4">
      <w:pPr>
        <w:spacing w:after="0" w:line="360" w:lineRule="auto"/>
        <w:rPr>
          <w:sz w:val="24"/>
          <w:szCs w:val="24"/>
          <w:lang w:val="en-US"/>
        </w:rPr>
      </w:pPr>
    </w:p>
    <w:p w:rsidR="00FB7F75" w:rsidRPr="00DC26A4" w:rsidRDefault="00FB7F75" w:rsidP="00DC26A4">
      <w:pPr>
        <w:spacing w:after="0" w:line="360" w:lineRule="auto"/>
        <w:rPr>
          <w:sz w:val="24"/>
          <w:szCs w:val="24"/>
          <w:lang w:val="en-US"/>
        </w:rPr>
      </w:pPr>
      <w:r w:rsidRPr="00DC26A4">
        <w:rPr>
          <w:sz w:val="24"/>
          <w:szCs w:val="24"/>
          <w:lang w:val="en-US"/>
        </w:rPr>
        <w:t>2. The loss of a generally Protestant identity, in order to serve a wider constituency within the Christian churches. The rise of ecumenism, especially at the grassroots level, in the final decades of the twentieth century has seen this trend accelerate.</w:t>
      </w:r>
    </w:p>
    <w:p w:rsidR="00D35663" w:rsidRPr="00DC26A4" w:rsidRDefault="00D35663" w:rsidP="00DC26A4">
      <w:pPr>
        <w:spacing w:after="0" w:line="360" w:lineRule="auto"/>
        <w:rPr>
          <w:sz w:val="24"/>
          <w:szCs w:val="24"/>
          <w:lang w:val="en-US"/>
        </w:rPr>
      </w:pPr>
    </w:p>
    <w:p w:rsidR="00FB7F75" w:rsidRPr="00DC26A4" w:rsidRDefault="00FB7F75" w:rsidP="00DC26A4">
      <w:pPr>
        <w:spacing w:after="0" w:line="360" w:lineRule="auto"/>
        <w:rPr>
          <w:sz w:val="24"/>
          <w:szCs w:val="24"/>
          <w:lang w:val="en-US"/>
        </w:rPr>
      </w:pPr>
      <w:r w:rsidRPr="00DC26A4">
        <w:rPr>
          <w:sz w:val="24"/>
          <w:szCs w:val="24"/>
          <w:lang w:val="en-US"/>
        </w:rPr>
        <w:t>3. The loss of a specifically Christian identity, either in order to focus on religion in general, without any specific commitment to its Christian form; or in order to focus on other disciplines for which Christian identity either confers no advantages, or is seen to be an impediment. The pressures created by the need for academic accreditation from secular agencies played no small rol</w:t>
      </w:r>
      <w:r w:rsidR="005035E4" w:rsidRPr="00DC26A4">
        <w:rPr>
          <w:sz w:val="24"/>
          <w:szCs w:val="24"/>
          <w:lang w:val="en-US"/>
        </w:rPr>
        <w:t>e in catalyzing this transition.</w:t>
      </w:r>
      <w:r w:rsidR="00D66366" w:rsidRPr="00DC26A4">
        <w:rPr>
          <w:sz w:val="24"/>
          <w:szCs w:val="24"/>
          <w:lang w:val="en-US"/>
        </w:rPr>
        <w:t xml:space="preserve"> Once more, I need to </w:t>
      </w:r>
      <w:proofErr w:type="spellStart"/>
      <w:r w:rsidR="00D66366" w:rsidRPr="00DC26A4">
        <w:rPr>
          <w:sz w:val="24"/>
          <w:szCs w:val="24"/>
          <w:lang w:val="en-US"/>
        </w:rPr>
        <w:t>emphasise</w:t>
      </w:r>
      <w:proofErr w:type="spellEnd"/>
      <w:r w:rsidR="00D66366" w:rsidRPr="00DC26A4">
        <w:rPr>
          <w:sz w:val="24"/>
          <w:szCs w:val="24"/>
          <w:lang w:val="en-US"/>
        </w:rPr>
        <w:t xml:space="preserve"> the importance of this point for the issues concerning the European situation that we are discussing at this conference.</w:t>
      </w:r>
    </w:p>
    <w:p w:rsidR="00FB7F75" w:rsidRPr="00DC26A4" w:rsidRDefault="00FB7F75" w:rsidP="00DC26A4">
      <w:pPr>
        <w:spacing w:after="0" w:line="360" w:lineRule="auto"/>
        <w:rPr>
          <w:sz w:val="24"/>
          <w:szCs w:val="24"/>
          <w:lang w:val="en-US"/>
        </w:rPr>
      </w:pPr>
    </w:p>
    <w:p w:rsidR="00E70A9A" w:rsidRDefault="00FB7F75" w:rsidP="00E70A9A">
      <w:pPr>
        <w:spacing w:after="0" w:line="360" w:lineRule="auto"/>
        <w:rPr>
          <w:sz w:val="24"/>
          <w:szCs w:val="24"/>
          <w:lang w:val="en-US"/>
        </w:rPr>
      </w:pPr>
      <w:r w:rsidRPr="00DC26A4">
        <w:rPr>
          <w:sz w:val="24"/>
          <w:szCs w:val="24"/>
          <w:lang w:val="en-US"/>
        </w:rPr>
        <w:t xml:space="preserve">While all institutions of education founded on a specifically religious basis face similar challenges, it seems that Protestantism has been particularly vulnerable to an erosion of vision and loss of focus. One possible explanation of this observation lies in the influence of </w:t>
      </w:r>
      <w:r w:rsidR="00DC26A4">
        <w:rPr>
          <w:sz w:val="24"/>
          <w:szCs w:val="24"/>
          <w:lang w:val="en-US"/>
        </w:rPr>
        <w:t xml:space="preserve">certain types of </w:t>
      </w:r>
      <w:r w:rsidRPr="00DC26A4">
        <w:rPr>
          <w:sz w:val="24"/>
          <w:szCs w:val="24"/>
          <w:lang w:val="en-US"/>
        </w:rPr>
        <w:t xml:space="preserve">Pietism within Protestant institutions. The traditional </w:t>
      </w:r>
      <w:proofErr w:type="spellStart"/>
      <w:r w:rsidRPr="00DC26A4">
        <w:rPr>
          <w:sz w:val="24"/>
          <w:szCs w:val="24"/>
          <w:lang w:val="en-US"/>
        </w:rPr>
        <w:t>Pietist</w:t>
      </w:r>
      <w:proofErr w:type="spellEnd"/>
      <w:r w:rsidRPr="00DC26A4">
        <w:rPr>
          <w:sz w:val="24"/>
          <w:szCs w:val="24"/>
          <w:lang w:val="en-US"/>
        </w:rPr>
        <w:t xml:space="preserve"> emphasis on a “religion of the heart” </w:t>
      </w:r>
      <w:r w:rsidR="00D35663" w:rsidRPr="00DC26A4">
        <w:rPr>
          <w:sz w:val="24"/>
          <w:szCs w:val="24"/>
          <w:lang w:val="en-US"/>
        </w:rPr>
        <w:t xml:space="preserve">can </w:t>
      </w:r>
      <w:r w:rsidR="00DC26A4">
        <w:rPr>
          <w:sz w:val="24"/>
          <w:szCs w:val="24"/>
          <w:lang w:val="en-US"/>
        </w:rPr>
        <w:t xml:space="preserve">(though </w:t>
      </w:r>
      <w:r w:rsidR="003F5AEB">
        <w:rPr>
          <w:sz w:val="24"/>
          <w:szCs w:val="24"/>
          <w:lang w:val="en-US"/>
        </w:rPr>
        <w:t xml:space="preserve">I must </w:t>
      </w:r>
      <w:proofErr w:type="spellStart"/>
      <w:r w:rsidR="003F5AEB">
        <w:rPr>
          <w:sz w:val="24"/>
          <w:szCs w:val="24"/>
          <w:lang w:val="en-US"/>
        </w:rPr>
        <w:t>emphasise</w:t>
      </w:r>
      <w:proofErr w:type="spellEnd"/>
      <w:r w:rsidR="003F5AEB">
        <w:rPr>
          <w:sz w:val="24"/>
          <w:szCs w:val="24"/>
          <w:lang w:val="en-US"/>
        </w:rPr>
        <w:t xml:space="preserve"> that </w:t>
      </w:r>
      <w:r w:rsidR="00DC26A4">
        <w:rPr>
          <w:sz w:val="24"/>
          <w:szCs w:val="24"/>
          <w:lang w:val="en-US"/>
        </w:rPr>
        <w:t xml:space="preserve">it need not) </w:t>
      </w:r>
      <w:r w:rsidR="00D35663" w:rsidRPr="00DC26A4">
        <w:rPr>
          <w:sz w:val="24"/>
          <w:szCs w:val="24"/>
          <w:lang w:val="en-US"/>
        </w:rPr>
        <w:t>easily lead</w:t>
      </w:r>
      <w:r w:rsidRPr="00DC26A4">
        <w:rPr>
          <w:sz w:val="24"/>
          <w:szCs w:val="24"/>
          <w:lang w:val="en-US"/>
        </w:rPr>
        <w:t xml:space="preserve"> to a neglect of theology and a disregard for the church. </w:t>
      </w:r>
      <w:r w:rsidR="00E70A9A">
        <w:rPr>
          <w:sz w:val="24"/>
          <w:szCs w:val="24"/>
          <w:lang w:val="en-US"/>
        </w:rPr>
        <w:t xml:space="preserve">(Bernhard </w:t>
      </w:r>
      <w:proofErr w:type="spellStart"/>
      <w:r w:rsidR="00E70A9A">
        <w:rPr>
          <w:sz w:val="24"/>
          <w:szCs w:val="24"/>
          <w:lang w:val="en-US"/>
        </w:rPr>
        <w:t>Ott</w:t>
      </w:r>
      <w:proofErr w:type="spellEnd"/>
      <w:r w:rsidR="00E70A9A">
        <w:rPr>
          <w:sz w:val="24"/>
          <w:szCs w:val="24"/>
          <w:lang w:val="en-US"/>
        </w:rPr>
        <w:t xml:space="preserve"> has made some very helpful comments on Pietism in his </w:t>
      </w:r>
      <w:r w:rsidR="00E70A9A" w:rsidRPr="00E70A9A">
        <w:rPr>
          <w:i/>
          <w:sz w:val="24"/>
          <w:szCs w:val="24"/>
          <w:lang w:val="en-US"/>
        </w:rPr>
        <w:t>B</w:t>
      </w:r>
      <w:proofErr w:type="spellStart"/>
      <w:r w:rsidR="00E70A9A" w:rsidRPr="00E70A9A">
        <w:rPr>
          <w:i/>
          <w:sz w:val="24"/>
          <w:szCs w:val="24"/>
        </w:rPr>
        <w:t>eyond</w:t>
      </w:r>
      <w:proofErr w:type="spellEnd"/>
      <w:r w:rsidR="00E70A9A" w:rsidRPr="00E70A9A">
        <w:rPr>
          <w:i/>
          <w:sz w:val="24"/>
          <w:szCs w:val="24"/>
        </w:rPr>
        <w:t xml:space="preserve"> Fragmentation: Integrating Mission and </w:t>
      </w:r>
      <w:r w:rsidR="00E70A9A" w:rsidRPr="00E70A9A">
        <w:rPr>
          <w:i/>
          <w:sz w:val="24"/>
          <w:szCs w:val="24"/>
        </w:rPr>
        <w:lastRenderedPageBreak/>
        <w:t>Theological Education</w:t>
      </w:r>
      <w:r w:rsidR="00E70A9A">
        <w:rPr>
          <w:sz w:val="24"/>
          <w:szCs w:val="24"/>
        </w:rPr>
        <w:t xml:space="preserve">.) </w:t>
      </w:r>
      <w:r w:rsidR="00E70A9A" w:rsidRPr="00E70A9A">
        <w:rPr>
          <w:sz w:val="24"/>
          <w:szCs w:val="24"/>
          <w:lang w:val="en-US"/>
        </w:rPr>
        <w:t xml:space="preserve"> </w:t>
      </w:r>
      <w:r w:rsidRPr="00DC26A4">
        <w:rPr>
          <w:sz w:val="24"/>
          <w:szCs w:val="24"/>
          <w:lang w:val="en-US"/>
        </w:rPr>
        <w:t>This expresses itself in religious anti-intellectualism, which has little time for the intellectual content of faith, nor any attempt to correlate it w</w:t>
      </w:r>
      <w:r w:rsidR="00E70A9A">
        <w:rPr>
          <w:sz w:val="24"/>
          <w:szCs w:val="24"/>
          <w:lang w:val="en-US"/>
        </w:rPr>
        <w:t>ith other academic disciplines.</w:t>
      </w:r>
    </w:p>
    <w:p w:rsidR="00E70A9A" w:rsidRDefault="00E70A9A" w:rsidP="00E70A9A">
      <w:pPr>
        <w:spacing w:after="0" w:line="360" w:lineRule="auto"/>
        <w:rPr>
          <w:sz w:val="24"/>
          <w:szCs w:val="24"/>
          <w:lang w:val="en-US"/>
        </w:rPr>
      </w:pPr>
    </w:p>
    <w:p w:rsidR="00FB7F75" w:rsidRPr="00DC26A4" w:rsidRDefault="00FB7F75" w:rsidP="00E70A9A">
      <w:pPr>
        <w:spacing w:after="0" w:line="360" w:lineRule="auto"/>
        <w:rPr>
          <w:sz w:val="24"/>
          <w:szCs w:val="24"/>
          <w:lang w:val="en-US"/>
        </w:rPr>
      </w:pPr>
      <w:r w:rsidRPr="00DC26A4">
        <w:rPr>
          <w:sz w:val="24"/>
          <w:szCs w:val="24"/>
          <w:lang w:val="en-US"/>
        </w:rPr>
        <w:t xml:space="preserve">The outcome </w:t>
      </w:r>
      <w:r w:rsidR="00E70A9A">
        <w:rPr>
          <w:sz w:val="24"/>
          <w:szCs w:val="24"/>
          <w:lang w:val="en-US"/>
        </w:rPr>
        <w:t xml:space="preserve">of any such anti-intellectualism is </w:t>
      </w:r>
      <w:r w:rsidRPr="00DC26A4">
        <w:rPr>
          <w:sz w:val="24"/>
          <w:szCs w:val="24"/>
          <w:lang w:val="en-US"/>
        </w:rPr>
        <w:t xml:space="preserve">a religious disengagement with learning. Faith </w:t>
      </w:r>
      <w:r w:rsidR="00E70A9A">
        <w:rPr>
          <w:sz w:val="24"/>
          <w:szCs w:val="24"/>
          <w:lang w:val="en-US"/>
        </w:rPr>
        <w:t>is seen as</w:t>
      </w:r>
      <w:r w:rsidRPr="00DC26A4">
        <w:rPr>
          <w:sz w:val="24"/>
          <w:szCs w:val="24"/>
          <w:lang w:val="en-US"/>
        </w:rPr>
        <w:t xml:space="preserve"> a matter of the heart, not </w:t>
      </w:r>
      <w:r w:rsidR="00E70A9A">
        <w:rPr>
          <w:sz w:val="24"/>
          <w:szCs w:val="24"/>
          <w:lang w:val="en-US"/>
        </w:rPr>
        <w:t xml:space="preserve">of </w:t>
      </w:r>
      <w:r w:rsidRPr="00DC26A4">
        <w:rPr>
          <w:sz w:val="24"/>
          <w:szCs w:val="24"/>
          <w:lang w:val="en-US"/>
        </w:rPr>
        <w:t>the mind. The</w:t>
      </w:r>
      <w:r w:rsidR="00E70A9A">
        <w:rPr>
          <w:sz w:val="24"/>
          <w:szCs w:val="24"/>
          <w:lang w:val="en-US"/>
        </w:rPr>
        <w:t xml:space="preserve"> historical</w:t>
      </w:r>
      <w:r w:rsidRPr="00DC26A4">
        <w:rPr>
          <w:sz w:val="24"/>
          <w:szCs w:val="24"/>
          <w:lang w:val="en-US"/>
        </w:rPr>
        <w:t xml:space="preserve"> outcome </w:t>
      </w:r>
      <w:r w:rsidR="00E70A9A">
        <w:rPr>
          <w:sz w:val="24"/>
          <w:szCs w:val="24"/>
          <w:lang w:val="en-US"/>
        </w:rPr>
        <w:t xml:space="preserve">of this development </w:t>
      </w:r>
      <w:r w:rsidRPr="00DC26A4">
        <w:rPr>
          <w:sz w:val="24"/>
          <w:szCs w:val="24"/>
          <w:lang w:val="en-US"/>
        </w:rPr>
        <w:t xml:space="preserve">was </w:t>
      </w:r>
      <w:r w:rsidR="00E70A9A">
        <w:rPr>
          <w:sz w:val="24"/>
          <w:szCs w:val="24"/>
          <w:lang w:val="en-US"/>
        </w:rPr>
        <w:t xml:space="preserve">sadly </w:t>
      </w:r>
      <w:r w:rsidRPr="00DC26A4">
        <w:rPr>
          <w:sz w:val="24"/>
          <w:szCs w:val="24"/>
          <w:lang w:val="en-US"/>
        </w:rPr>
        <w:t xml:space="preserve">predictable: apart from an emphasis on nourishing personal devotion to Christ, educational programs at such institutions became indistinguishable from those offered at secular institutions. The </w:t>
      </w:r>
      <w:proofErr w:type="spellStart"/>
      <w:r w:rsidRPr="00DC26A4">
        <w:rPr>
          <w:sz w:val="24"/>
          <w:szCs w:val="24"/>
          <w:lang w:val="en-US"/>
        </w:rPr>
        <w:t>Pietist</w:t>
      </w:r>
      <w:proofErr w:type="spellEnd"/>
      <w:r w:rsidRPr="00DC26A4">
        <w:rPr>
          <w:sz w:val="24"/>
          <w:szCs w:val="24"/>
          <w:lang w:val="en-US"/>
        </w:rPr>
        <w:t xml:space="preserve"> element came to </w:t>
      </w:r>
      <w:r w:rsidR="00D35663" w:rsidRPr="00DC26A4">
        <w:rPr>
          <w:sz w:val="24"/>
          <w:szCs w:val="24"/>
          <w:lang w:val="en-US"/>
        </w:rPr>
        <w:t xml:space="preserve">be </w:t>
      </w:r>
      <w:r w:rsidRPr="00DC26A4">
        <w:rPr>
          <w:sz w:val="24"/>
          <w:szCs w:val="24"/>
          <w:lang w:val="en-US"/>
        </w:rPr>
        <w:t>regarded as academically risible by academics in such institutions</w:t>
      </w:r>
      <w:r w:rsidR="00D35663" w:rsidRPr="00DC26A4">
        <w:rPr>
          <w:sz w:val="24"/>
          <w:szCs w:val="24"/>
          <w:lang w:val="en-US"/>
        </w:rPr>
        <w:t>, and often fell into disrepute – as the history of Methodism at Oxford University in the eighteenth century makes painfully clear. Happily, we all know that there are academically serious forms of Pietism; yet the history of the movement raises some awkward</w:t>
      </w:r>
      <w:r w:rsidR="003F5AEB">
        <w:rPr>
          <w:sz w:val="24"/>
          <w:szCs w:val="24"/>
          <w:lang w:val="en-US"/>
        </w:rPr>
        <w:t xml:space="preserve"> questions that need to be not</w:t>
      </w:r>
      <w:r w:rsidR="00D35663" w:rsidRPr="00DC26A4">
        <w:rPr>
          <w:sz w:val="24"/>
          <w:szCs w:val="24"/>
          <w:lang w:val="en-US"/>
        </w:rPr>
        <w:t>ed here.</w:t>
      </w:r>
    </w:p>
    <w:p w:rsidR="00FB7F75" w:rsidRPr="00DC26A4" w:rsidRDefault="00FB7F75" w:rsidP="00DC26A4">
      <w:pPr>
        <w:spacing w:after="0" w:line="360" w:lineRule="auto"/>
        <w:rPr>
          <w:sz w:val="24"/>
          <w:szCs w:val="24"/>
          <w:lang w:val="en-US"/>
        </w:rPr>
      </w:pPr>
    </w:p>
    <w:p w:rsidR="00FB7F75" w:rsidRPr="00DC26A4" w:rsidRDefault="00FB7F75" w:rsidP="00DC26A4">
      <w:pPr>
        <w:spacing w:after="0" w:line="360" w:lineRule="auto"/>
        <w:rPr>
          <w:sz w:val="24"/>
          <w:szCs w:val="24"/>
          <w:lang w:val="en-US"/>
        </w:rPr>
      </w:pPr>
      <w:r w:rsidRPr="00DC26A4">
        <w:rPr>
          <w:sz w:val="24"/>
          <w:szCs w:val="24"/>
          <w:lang w:val="en-US"/>
        </w:rPr>
        <w:t xml:space="preserve">Faced with this phenomenon of institutional drift, Protestants have sought to find ways of either enforcing the religious identity of their institutions, or making this a selling point. The former approach generally involves a “Statement of Faith”, which all trustees and faculty members are required to sign as a condition of service. These “Statements” are seen as safeguarding the institution’s core identity from erosion or redirection. </w:t>
      </w:r>
      <w:r w:rsidR="001E6649">
        <w:rPr>
          <w:sz w:val="24"/>
          <w:szCs w:val="24"/>
          <w:lang w:val="en-US"/>
        </w:rPr>
        <w:t xml:space="preserve">Another approach involves linking with associations dedicated to advancing and affirming a specifically evangelical educational agenda. The United States leads the way here. </w:t>
      </w:r>
      <w:r w:rsidRPr="00DC26A4">
        <w:rPr>
          <w:sz w:val="24"/>
          <w:szCs w:val="24"/>
          <w:lang w:val="en-US"/>
        </w:rPr>
        <w:t>The Council for Christian Colleges and Universities (CCCU) was founded in 1976 with the objective of advancing “the cause of Christ-centered higher education” and “faithfully relating scholarship and service to biblical truth.” The Council offers support to the presidents and faculties of its member institutions, in order that they may retain their distinct identities and agendas, and engage positively with the increasingly competitive higher education market.</w:t>
      </w:r>
    </w:p>
    <w:p w:rsidR="00FB7F75" w:rsidRPr="00DC26A4" w:rsidRDefault="00FB7F75" w:rsidP="00DC26A4">
      <w:pPr>
        <w:spacing w:after="0" w:line="360" w:lineRule="auto"/>
        <w:rPr>
          <w:sz w:val="24"/>
          <w:szCs w:val="24"/>
          <w:lang w:val="en-US"/>
        </w:rPr>
      </w:pPr>
    </w:p>
    <w:p w:rsidR="005035E4" w:rsidRPr="00DC26A4" w:rsidRDefault="001E6649" w:rsidP="00DC26A4">
      <w:pPr>
        <w:spacing w:after="0" w:line="360" w:lineRule="auto"/>
        <w:rPr>
          <w:sz w:val="24"/>
          <w:szCs w:val="24"/>
          <w:lang w:val="en-US"/>
        </w:rPr>
      </w:pPr>
      <w:r>
        <w:rPr>
          <w:sz w:val="24"/>
          <w:szCs w:val="24"/>
          <w:lang w:val="en-US"/>
        </w:rPr>
        <w:t xml:space="preserve">There have been some significant successes. </w:t>
      </w:r>
      <w:r w:rsidR="00FB7F75" w:rsidRPr="00DC26A4">
        <w:rPr>
          <w:sz w:val="24"/>
          <w:szCs w:val="24"/>
          <w:lang w:val="en-US"/>
        </w:rPr>
        <w:t xml:space="preserve">Fuller Theological Seminary, now one of the world’s most prestigious institutions of theological education, was founded in Pasadena, California, in 1947 by evangelicals, anxious to establish evangelicalism’s intellectual credentials in the wake of the damaging Fundamentalist controversies of the previous decades. Regent College, Vancouver, opened its doors in 1970, and is now is now Canada’s </w:t>
      </w:r>
      <w:r w:rsidR="00FB7F75" w:rsidRPr="00DC26A4">
        <w:rPr>
          <w:sz w:val="24"/>
          <w:szCs w:val="24"/>
          <w:lang w:val="en-US"/>
        </w:rPr>
        <w:lastRenderedPageBreak/>
        <w:t>largest institute of theological education, with a significant global reach. Both schools are interdenominational and evangelical. The age of Protestant commitment to education is far from over; indeed, it seems to be entering a new phase.</w:t>
      </w:r>
      <w:r w:rsidR="00D8535F" w:rsidRPr="00DC26A4">
        <w:rPr>
          <w:sz w:val="24"/>
          <w:szCs w:val="24"/>
          <w:lang w:val="en-US"/>
        </w:rPr>
        <w:t xml:space="preserve"> The rapid expansion of Protestantism in Africa, Latin America and Asia in the twentieth century has also led to some remarkable new educational developments. Korea now has some of the largest Protestant seminaries and universities in the world, reflecting both that nation’s valuing of learning, and the remarkable advances of Protestantism in that nation since 1900.</w:t>
      </w:r>
    </w:p>
    <w:p w:rsidR="00D35663" w:rsidRPr="00DC26A4" w:rsidRDefault="00D35663" w:rsidP="00DC26A4">
      <w:pPr>
        <w:spacing w:after="0" w:line="360" w:lineRule="auto"/>
        <w:rPr>
          <w:sz w:val="24"/>
          <w:szCs w:val="24"/>
          <w:lang w:val="en-US"/>
        </w:rPr>
      </w:pPr>
    </w:p>
    <w:p w:rsidR="00D35663" w:rsidRPr="00DC26A4" w:rsidRDefault="00981B53" w:rsidP="00DC26A4">
      <w:pPr>
        <w:spacing w:after="0" w:line="360" w:lineRule="auto"/>
        <w:rPr>
          <w:sz w:val="24"/>
          <w:szCs w:val="24"/>
          <w:lang w:val="en-US"/>
        </w:rPr>
      </w:pPr>
      <w:r w:rsidRPr="00DC26A4">
        <w:rPr>
          <w:sz w:val="24"/>
          <w:szCs w:val="24"/>
          <w:lang w:val="en-US"/>
        </w:rPr>
        <w:t xml:space="preserve">So how does evangelicalism fit into this picture? I see no point in evading difficult questions, and so I will begin by expressing a concern. Many evangelicals are strongly anti-intellectual, and see “education” as a distraction from the real business of evangelism, preaching and pastoral care. The American evangelical historian Mark Noll has written on this theme especially in </w:t>
      </w:r>
      <w:r w:rsidRPr="00DC26A4">
        <w:rPr>
          <w:i/>
          <w:sz w:val="24"/>
          <w:szCs w:val="24"/>
          <w:lang w:val="en-US"/>
        </w:rPr>
        <w:t>The Scandal of the Evangelical Mind</w:t>
      </w:r>
      <w:r w:rsidRPr="00DC26A4">
        <w:rPr>
          <w:sz w:val="24"/>
          <w:szCs w:val="24"/>
          <w:lang w:val="en-US"/>
        </w:rPr>
        <w:t xml:space="preserve">, and I consider his analysis to be worryingly accurate. We – and our congregations – live in a European context in which the integrity and credibility of the Christian faith are regularly and aggressively challenged. We need pastors and leaders who can engage the “New Atheism”. And I </w:t>
      </w:r>
      <w:r w:rsidR="00C15E88" w:rsidRPr="00DC26A4">
        <w:rPr>
          <w:sz w:val="24"/>
          <w:szCs w:val="24"/>
          <w:lang w:val="en-US"/>
        </w:rPr>
        <w:t xml:space="preserve">just </w:t>
      </w:r>
      <w:r w:rsidRPr="00DC26A4">
        <w:rPr>
          <w:sz w:val="24"/>
          <w:szCs w:val="24"/>
          <w:lang w:val="en-US"/>
        </w:rPr>
        <w:t>don’t see this happening.</w:t>
      </w:r>
      <w:r w:rsidR="00C15E88" w:rsidRPr="00DC26A4">
        <w:rPr>
          <w:sz w:val="24"/>
          <w:szCs w:val="24"/>
          <w:lang w:val="en-US"/>
        </w:rPr>
        <w:t xml:space="preserve"> Evangelical leaders need and deserve an education which equips them for the public </w:t>
      </w:r>
      <w:proofErr w:type="spellStart"/>
      <w:r w:rsidR="00C15E88" w:rsidRPr="00DC26A4">
        <w:rPr>
          <w:sz w:val="24"/>
          <w:szCs w:val="24"/>
          <w:lang w:val="en-US"/>
        </w:rPr>
        <w:t>defence</w:t>
      </w:r>
      <w:proofErr w:type="spellEnd"/>
      <w:r w:rsidR="00C15E88" w:rsidRPr="00DC26A4">
        <w:rPr>
          <w:sz w:val="24"/>
          <w:szCs w:val="24"/>
          <w:lang w:val="en-US"/>
        </w:rPr>
        <w:t xml:space="preserve"> of the Christian faith.</w:t>
      </w:r>
      <w:r w:rsidR="001E6649">
        <w:rPr>
          <w:sz w:val="24"/>
          <w:szCs w:val="24"/>
          <w:lang w:val="en-US"/>
        </w:rPr>
        <w:t xml:space="preserve"> And evangelical congregations need and deserve leaders and pastors who can help them affirm and defend their faith in everyday life.</w:t>
      </w:r>
    </w:p>
    <w:p w:rsidR="00115771" w:rsidRPr="00DC26A4" w:rsidRDefault="00115771" w:rsidP="00DC26A4">
      <w:pPr>
        <w:spacing w:after="0" w:line="360" w:lineRule="auto"/>
        <w:rPr>
          <w:sz w:val="24"/>
          <w:szCs w:val="24"/>
          <w:lang w:val="en-US"/>
        </w:rPr>
      </w:pPr>
    </w:p>
    <w:p w:rsidR="001E6649" w:rsidRDefault="00FC533B" w:rsidP="00DC26A4">
      <w:pPr>
        <w:spacing w:line="360" w:lineRule="auto"/>
        <w:rPr>
          <w:rFonts w:ascii="Calibri" w:eastAsia="Calibri" w:hAnsi="Calibri" w:cs="Times New Roman"/>
          <w:sz w:val="24"/>
          <w:szCs w:val="24"/>
        </w:rPr>
      </w:pPr>
      <w:r w:rsidRPr="00DC26A4">
        <w:rPr>
          <w:rFonts w:ascii="Calibri" w:eastAsia="Calibri" w:hAnsi="Calibri" w:cs="Times New Roman"/>
          <w:sz w:val="24"/>
          <w:szCs w:val="24"/>
        </w:rPr>
        <w:t>I want to commend a “discipleship of the mind”, in which we deliberately and intentionally cultivate a Christian habit of thought, as part of the grace-wrought process of transformation by the gospel</w:t>
      </w:r>
      <w:r w:rsidR="00DC26A4">
        <w:rPr>
          <w:rFonts w:ascii="Calibri" w:eastAsia="Calibri" w:hAnsi="Calibri" w:cs="Times New Roman"/>
          <w:sz w:val="24"/>
          <w:szCs w:val="24"/>
        </w:rPr>
        <w:t>.</w:t>
      </w:r>
      <w:r w:rsidRPr="00DC26A4">
        <w:rPr>
          <w:rFonts w:ascii="Calibri" w:eastAsia="Calibri" w:hAnsi="Calibri" w:cs="Times New Roman"/>
          <w:sz w:val="24"/>
          <w:szCs w:val="24"/>
        </w:rPr>
        <w:t xml:space="preserve"> </w:t>
      </w:r>
      <w:r w:rsidR="001E6649">
        <w:rPr>
          <w:rFonts w:ascii="Calibri" w:eastAsia="Calibri" w:hAnsi="Calibri" w:cs="Times New Roman"/>
          <w:sz w:val="24"/>
          <w:szCs w:val="24"/>
        </w:rPr>
        <w:t xml:space="preserve">In his classic work </w:t>
      </w:r>
      <w:r w:rsidR="001E6649">
        <w:rPr>
          <w:rFonts w:ascii="Calibri" w:eastAsia="Calibri" w:hAnsi="Calibri" w:cs="Times New Roman"/>
          <w:i/>
          <w:sz w:val="24"/>
          <w:szCs w:val="24"/>
        </w:rPr>
        <w:t xml:space="preserve">The </w:t>
      </w:r>
      <w:r w:rsidRPr="00DC26A4">
        <w:rPr>
          <w:rFonts w:ascii="Calibri" w:eastAsia="Calibri" w:hAnsi="Calibri" w:cs="Times New Roman"/>
          <w:i/>
          <w:sz w:val="24"/>
          <w:szCs w:val="24"/>
        </w:rPr>
        <w:t>Christian Mind</w:t>
      </w:r>
      <w:r w:rsidRPr="00DC26A4">
        <w:rPr>
          <w:rFonts w:ascii="Calibri" w:eastAsia="Calibri" w:hAnsi="Calibri" w:cs="Times New Roman"/>
          <w:sz w:val="24"/>
          <w:szCs w:val="24"/>
        </w:rPr>
        <w:t xml:space="preserve"> </w:t>
      </w:r>
      <w:r w:rsidR="00DC26A4">
        <w:rPr>
          <w:rFonts w:ascii="Calibri" w:eastAsia="Calibri" w:hAnsi="Calibri" w:cs="Times New Roman"/>
          <w:sz w:val="24"/>
          <w:szCs w:val="24"/>
        </w:rPr>
        <w:t>(</w:t>
      </w:r>
      <w:r w:rsidRPr="00DC26A4">
        <w:rPr>
          <w:rFonts w:ascii="Calibri" w:eastAsia="Calibri" w:hAnsi="Calibri" w:cs="Times New Roman"/>
          <w:sz w:val="24"/>
          <w:szCs w:val="24"/>
        </w:rPr>
        <w:t>1963</w:t>
      </w:r>
      <w:r w:rsidR="00DC26A4">
        <w:rPr>
          <w:rFonts w:ascii="Calibri" w:eastAsia="Calibri" w:hAnsi="Calibri" w:cs="Times New Roman"/>
          <w:sz w:val="24"/>
          <w:szCs w:val="24"/>
        </w:rPr>
        <w:t>)</w:t>
      </w:r>
      <w:r w:rsidR="001E6649">
        <w:rPr>
          <w:rFonts w:ascii="Calibri" w:eastAsia="Calibri" w:hAnsi="Calibri" w:cs="Times New Roman"/>
          <w:sz w:val="24"/>
          <w:szCs w:val="24"/>
        </w:rPr>
        <w:t xml:space="preserve">, Harry </w:t>
      </w:r>
      <w:proofErr w:type="spellStart"/>
      <w:r w:rsidR="001E6649">
        <w:rPr>
          <w:rFonts w:ascii="Calibri" w:eastAsia="Calibri" w:hAnsi="Calibri" w:cs="Times New Roman"/>
          <w:sz w:val="24"/>
          <w:szCs w:val="24"/>
        </w:rPr>
        <w:t>Blamires</w:t>
      </w:r>
      <w:proofErr w:type="spellEnd"/>
      <w:r w:rsidR="001E6649">
        <w:rPr>
          <w:rFonts w:ascii="Calibri" w:eastAsia="Calibri" w:hAnsi="Calibri" w:cs="Times New Roman"/>
          <w:sz w:val="24"/>
          <w:szCs w:val="24"/>
        </w:rPr>
        <w:t xml:space="preserve"> </w:t>
      </w:r>
      <w:r w:rsidRPr="00DC26A4">
        <w:rPr>
          <w:rFonts w:ascii="Calibri" w:eastAsia="Calibri" w:hAnsi="Calibri" w:cs="Times New Roman"/>
          <w:sz w:val="24"/>
          <w:szCs w:val="24"/>
        </w:rPr>
        <w:t xml:space="preserve">noted that most of the books that shaped and moulded culture were being written by non-Christians. </w:t>
      </w:r>
      <w:proofErr w:type="spellStart"/>
      <w:r w:rsidR="00DC26A4">
        <w:rPr>
          <w:rFonts w:ascii="Calibri" w:eastAsia="Calibri" w:hAnsi="Calibri" w:cs="Times New Roman"/>
          <w:sz w:val="24"/>
          <w:szCs w:val="24"/>
        </w:rPr>
        <w:t>Blamires</w:t>
      </w:r>
      <w:proofErr w:type="spellEnd"/>
      <w:r w:rsidRPr="00DC26A4">
        <w:rPr>
          <w:rFonts w:ascii="Calibri" w:eastAsia="Calibri" w:hAnsi="Calibri" w:cs="Times New Roman"/>
          <w:sz w:val="24"/>
          <w:szCs w:val="24"/>
        </w:rPr>
        <w:t xml:space="preserve"> called for a renewal of the life of the mind, especially in the academy and professions. It is far from clear that things have improved since then. I very much fear that Christianity is in danger of becoming detached from public debates and discussions – not because of any failings with the Christian vision of reality, but due to a lack of vision and confidence on the part of some of its leaders and representatives.</w:t>
      </w:r>
    </w:p>
    <w:p w:rsidR="00FC533B" w:rsidRPr="00DC26A4" w:rsidRDefault="00FC533B" w:rsidP="00DC26A4">
      <w:pPr>
        <w:spacing w:line="360" w:lineRule="auto"/>
        <w:rPr>
          <w:rFonts w:ascii="Calibri" w:eastAsia="Calibri" w:hAnsi="Calibri" w:cs="Times New Roman"/>
          <w:sz w:val="24"/>
          <w:szCs w:val="24"/>
        </w:rPr>
      </w:pPr>
      <w:r w:rsidRPr="00DC26A4">
        <w:rPr>
          <w:rFonts w:ascii="Calibri" w:eastAsia="Calibri" w:hAnsi="Calibri" w:cs="Times New Roman"/>
          <w:sz w:val="24"/>
          <w:szCs w:val="24"/>
        </w:rPr>
        <w:t xml:space="preserve">I believe that the situation faced by Christianity throughout the west makes the renewal of the Christian mind imperative. The rise of the “New Atheism” has seen fundamental </w:t>
      </w:r>
      <w:r w:rsidRPr="00DC26A4">
        <w:rPr>
          <w:rFonts w:ascii="Calibri" w:eastAsia="Calibri" w:hAnsi="Calibri" w:cs="Times New Roman"/>
          <w:sz w:val="24"/>
          <w:szCs w:val="24"/>
        </w:rPr>
        <w:lastRenderedPageBreak/>
        <w:t xml:space="preserve">challenges to the rationality of the Christian faith, which must be countered, and are more than capable of being countered. To appreciate the importance of this point, we us reflect on some words of the Oxford theologian and New Testament scholar Austin </w:t>
      </w:r>
      <w:proofErr w:type="spellStart"/>
      <w:r w:rsidRPr="00DC26A4">
        <w:rPr>
          <w:rFonts w:ascii="Calibri" w:eastAsia="Calibri" w:hAnsi="Calibri" w:cs="Times New Roman"/>
          <w:sz w:val="24"/>
          <w:szCs w:val="24"/>
        </w:rPr>
        <w:t>Farrer</w:t>
      </w:r>
      <w:proofErr w:type="spellEnd"/>
      <w:r w:rsidRPr="00DC26A4">
        <w:rPr>
          <w:rFonts w:ascii="Calibri" w:eastAsia="Calibri" w:hAnsi="Calibri" w:cs="Times New Roman"/>
          <w:sz w:val="24"/>
          <w:szCs w:val="24"/>
        </w:rPr>
        <w:t xml:space="preserve">. Writing shortly after the death of C. S. Lewis, </w:t>
      </w:r>
      <w:proofErr w:type="spellStart"/>
      <w:r w:rsidRPr="00DC26A4">
        <w:rPr>
          <w:rFonts w:ascii="Calibri" w:eastAsia="Calibri" w:hAnsi="Calibri" w:cs="Times New Roman"/>
          <w:sz w:val="24"/>
          <w:szCs w:val="24"/>
        </w:rPr>
        <w:t>Farrer</w:t>
      </w:r>
      <w:proofErr w:type="spellEnd"/>
      <w:r w:rsidRPr="00DC26A4">
        <w:rPr>
          <w:rFonts w:ascii="Calibri" w:eastAsia="Calibri" w:hAnsi="Calibri" w:cs="Times New Roman"/>
          <w:sz w:val="24"/>
          <w:szCs w:val="24"/>
        </w:rPr>
        <w:t xml:space="preserve"> tried to pinpoint the root of Lewis’s remarkable and continuing success as a cultural apologist. In part, </w:t>
      </w:r>
      <w:proofErr w:type="spellStart"/>
      <w:r w:rsidRPr="00DC26A4">
        <w:rPr>
          <w:rFonts w:ascii="Calibri" w:eastAsia="Calibri" w:hAnsi="Calibri" w:cs="Times New Roman"/>
          <w:sz w:val="24"/>
          <w:szCs w:val="24"/>
        </w:rPr>
        <w:t>Farrer</w:t>
      </w:r>
      <w:proofErr w:type="spellEnd"/>
      <w:r w:rsidRPr="00DC26A4">
        <w:rPr>
          <w:rFonts w:ascii="Calibri" w:eastAsia="Calibri" w:hAnsi="Calibri" w:cs="Times New Roman"/>
          <w:sz w:val="24"/>
          <w:szCs w:val="24"/>
        </w:rPr>
        <w:t xml:space="preserve"> believed that this was due to Lewis’s ability to demonstrate the reasonableness of faith:</w:t>
      </w:r>
      <w:r w:rsidR="00EE1EEE" w:rsidRPr="00DC26A4">
        <w:rPr>
          <w:rStyle w:val="FootnoteReference"/>
          <w:rFonts w:ascii="Calibri" w:eastAsia="Calibri" w:hAnsi="Calibri" w:cs="Times New Roman"/>
          <w:sz w:val="24"/>
          <w:szCs w:val="24"/>
        </w:rPr>
        <w:footnoteReference w:id="1"/>
      </w:r>
    </w:p>
    <w:p w:rsidR="00FC533B" w:rsidRPr="00DC26A4" w:rsidRDefault="00FC533B" w:rsidP="00DC26A4">
      <w:pPr>
        <w:spacing w:line="360" w:lineRule="auto"/>
        <w:ind w:left="720"/>
        <w:rPr>
          <w:rFonts w:ascii="Calibri" w:eastAsia="Calibri" w:hAnsi="Calibri" w:cs="Times New Roman"/>
          <w:iCs/>
          <w:sz w:val="24"/>
          <w:szCs w:val="24"/>
        </w:rPr>
      </w:pPr>
      <w:r w:rsidRPr="00DC26A4">
        <w:rPr>
          <w:rFonts w:ascii="Calibri" w:eastAsia="Calibri" w:hAnsi="Calibri" w:cs="Times New Roman"/>
          <w:iCs/>
          <w:sz w:val="24"/>
          <w:szCs w:val="24"/>
        </w:rPr>
        <w:t>Though argument does not create conviction, the lack of it destroys belief. What seems to be proved may not be embraced; but what no one shows the ability to defend is quickly abandoned. Rational argument does not create belief, but it maintains a climate in which belief may flourish.</w:t>
      </w:r>
    </w:p>
    <w:p w:rsidR="00115771" w:rsidRPr="00DC26A4" w:rsidRDefault="00FC533B" w:rsidP="00DC26A4">
      <w:pPr>
        <w:spacing w:after="0" w:line="360" w:lineRule="auto"/>
        <w:rPr>
          <w:sz w:val="24"/>
          <w:szCs w:val="24"/>
          <w:lang w:val="en-US"/>
        </w:rPr>
      </w:pPr>
      <w:proofErr w:type="spellStart"/>
      <w:r w:rsidRPr="00DC26A4">
        <w:rPr>
          <w:rFonts w:ascii="Calibri" w:eastAsia="Calibri" w:hAnsi="Calibri" w:cs="Times New Roman"/>
          <w:iCs/>
          <w:sz w:val="24"/>
          <w:szCs w:val="24"/>
        </w:rPr>
        <w:t>Farrer</w:t>
      </w:r>
      <w:proofErr w:type="spellEnd"/>
      <w:r w:rsidRPr="00DC26A4">
        <w:rPr>
          <w:rFonts w:ascii="Calibri" w:eastAsia="Calibri" w:hAnsi="Calibri" w:cs="Times New Roman"/>
          <w:iCs/>
          <w:sz w:val="24"/>
          <w:szCs w:val="24"/>
        </w:rPr>
        <w:t xml:space="preserve"> is </w:t>
      </w:r>
      <w:r w:rsidR="001E6649">
        <w:rPr>
          <w:rFonts w:ascii="Calibri" w:eastAsia="Calibri" w:hAnsi="Calibri" w:cs="Times New Roman"/>
          <w:iCs/>
          <w:sz w:val="24"/>
          <w:szCs w:val="24"/>
        </w:rPr>
        <w:t xml:space="preserve">surely </w:t>
      </w:r>
      <w:r w:rsidRPr="00DC26A4">
        <w:rPr>
          <w:rFonts w:ascii="Calibri" w:eastAsia="Calibri" w:hAnsi="Calibri" w:cs="Times New Roman"/>
          <w:iCs/>
          <w:sz w:val="24"/>
          <w:szCs w:val="24"/>
        </w:rPr>
        <w:t xml:space="preserve">right. Responding to intellectual and cultural criticisms of faith may not lead to conversion and conviction. Yet a failure to respond creates the impression that faith is for those who have neither the ability nor inclination to think. That faith is indeed as poorly grounded and illusory as its critics assert. That faith survives only by refusing to think. </w:t>
      </w:r>
      <w:proofErr w:type="gramStart"/>
      <w:r w:rsidRPr="00DC26A4">
        <w:rPr>
          <w:rFonts w:ascii="Calibri" w:eastAsia="Calibri" w:hAnsi="Calibri" w:cs="Times New Roman"/>
          <w:iCs/>
          <w:sz w:val="24"/>
          <w:szCs w:val="24"/>
        </w:rPr>
        <w:t>That the death of faith is the inevitable outcome of cultural progress.</w:t>
      </w:r>
      <w:proofErr w:type="gramEnd"/>
      <w:r w:rsidRPr="00DC26A4">
        <w:rPr>
          <w:rFonts w:ascii="Calibri" w:eastAsia="Calibri" w:hAnsi="Calibri" w:cs="Times New Roman"/>
          <w:iCs/>
          <w:sz w:val="24"/>
          <w:szCs w:val="24"/>
        </w:rPr>
        <w:t xml:space="preserve"> The lack of a rejoinder to these criticisms merely solidifies the growing impression that Christian faith is an endangered species, which belongs to a less critical and scientific age.</w:t>
      </w:r>
    </w:p>
    <w:p w:rsidR="00FC533B" w:rsidRPr="00DC26A4" w:rsidRDefault="00FC533B" w:rsidP="00DC26A4">
      <w:pPr>
        <w:spacing w:after="0" w:line="360" w:lineRule="auto"/>
        <w:rPr>
          <w:sz w:val="24"/>
          <w:szCs w:val="24"/>
          <w:lang w:val="en-US"/>
        </w:rPr>
      </w:pPr>
    </w:p>
    <w:p w:rsidR="00FC533B" w:rsidRPr="00DC26A4" w:rsidRDefault="00FC533B" w:rsidP="00DC26A4">
      <w:pPr>
        <w:spacing w:after="0" w:line="360" w:lineRule="auto"/>
        <w:rPr>
          <w:sz w:val="24"/>
          <w:szCs w:val="24"/>
        </w:rPr>
      </w:pPr>
      <w:r w:rsidRPr="00DC26A4">
        <w:rPr>
          <w:rFonts w:ascii="Calibri" w:eastAsia="Calibri" w:hAnsi="Calibri" w:cs="Times New Roman"/>
          <w:iCs/>
          <w:sz w:val="24"/>
          <w:szCs w:val="24"/>
        </w:rPr>
        <w:t xml:space="preserve">I am </w:t>
      </w:r>
      <w:r w:rsidR="00EE1EEE" w:rsidRPr="00DC26A4">
        <w:rPr>
          <w:rFonts w:ascii="Calibri" w:eastAsia="Calibri" w:hAnsi="Calibri" w:cs="Times New Roman"/>
          <w:iCs/>
          <w:sz w:val="24"/>
          <w:szCs w:val="24"/>
        </w:rPr>
        <w:t xml:space="preserve">deeply </w:t>
      </w:r>
      <w:r w:rsidRPr="00DC26A4">
        <w:rPr>
          <w:rFonts w:ascii="Calibri" w:eastAsia="Calibri" w:hAnsi="Calibri" w:cs="Times New Roman"/>
          <w:iCs/>
          <w:sz w:val="24"/>
          <w:szCs w:val="24"/>
        </w:rPr>
        <w:t xml:space="preserve">disturbed at the recent rise of anti-intellectualism and a lack of interest in scholarship within many churches, encouraged by some Christian leaders. </w:t>
      </w:r>
      <w:r w:rsidRPr="00DC26A4">
        <w:rPr>
          <w:rFonts w:ascii="Calibri" w:eastAsia="Calibri" w:hAnsi="Calibri" w:cs="Times New Roman"/>
          <w:sz w:val="24"/>
          <w:szCs w:val="24"/>
        </w:rPr>
        <w:t xml:space="preserve">I happened to be present at a meeting of some evangelical students back in 2006, when Richard Dawkins’s </w:t>
      </w:r>
      <w:r w:rsidRPr="00DC26A4">
        <w:rPr>
          <w:rFonts w:ascii="Calibri" w:eastAsia="Calibri" w:hAnsi="Calibri" w:cs="Times New Roman"/>
          <w:i/>
          <w:sz w:val="24"/>
          <w:szCs w:val="24"/>
        </w:rPr>
        <w:t>God Delusion</w:t>
      </w:r>
      <w:r w:rsidRPr="00DC26A4">
        <w:rPr>
          <w:rFonts w:ascii="Calibri" w:eastAsia="Calibri" w:hAnsi="Calibri" w:cs="Times New Roman"/>
          <w:sz w:val="24"/>
          <w:szCs w:val="24"/>
        </w:rPr>
        <w:t xml:space="preserve"> was being discussed. The basic consensus was that there was no need to take Dawkins’s arguments seriously, or set out a Christian alternative. The solution their leader recommended? The energetic and frequent public citation of Psalm 14:1: “The fool says in his heart, ‘There is no God.’” I intend no disrespect here, but this rather smug response is totally unacceptable. It represents a lack of vision, a loss of nerve, and above all a failure to take the gospel seriously, and give good answers when the situation demands it (1 Peter 3:15).</w:t>
      </w:r>
    </w:p>
    <w:p w:rsidR="005C2ABA" w:rsidRPr="00DC26A4" w:rsidRDefault="005C2ABA" w:rsidP="00DC26A4">
      <w:pPr>
        <w:spacing w:after="0" w:line="360" w:lineRule="auto"/>
        <w:rPr>
          <w:sz w:val="24"/>
          <w:szCs w:val="24"/>
        </w:rPr>
      </w:pPr>
    </w:p>
    <w:p w:rsidR="005C2ABA" w:rsidRPr="00DC26A4" w:rsidRDefault="005C2ABA" w:rsidP="00DC26A4">
      <w:pPr>
        <w:spacing w:after="0" w:line="360" w:lineRule="auto"/>
        <w:rPr>
          <w:sz w:val="24"/>
          <w:szCs w:val="24"/>
        </w:rPr>
      </w:pPr>
      <w:r w:rsidRPr="00DC26A4">
        <w:rPr>
          <w:sz w:val="24"/>
          <w:szCs w:val="24"/>
        </w:rPr>
        <w:lastRenderedPageBreak/>
        <w:t>I have no doubt that theological education needs to nurture the mind and the soul. But my concern is that too many evangelicals seem to think that theological education is simply about the development of good habits of personal devotion and an acquisition of some pastoral and preaching techniques. We need to give our people the leaders and teachers they deserve, especially in the light of the growing secularization of European culture.</w:t>
      </w:r>
    </w:p>
    <w:p w:rsidR="005C2ABA" w:rsidRPr="00DC26A4" w:rsidRDefault="005C2ABA" w:rsidP="00DC26A4">
      <w:pPr>
        <w:spacing w:after="0" w:line="360" w:lineRule="auto"/>
        <w:rPr>
          <w:sz w:val="24"/>
          <w:szCs w:val="24"/>
        </w:rPr>
      </w:pPr>
    </w:p>
    <w:p w:rsidR="0047304E" w:rsidRPr="00DC26A4" w:rsidRDefault="00DC26A4" w:rsidP="00DC26A4">
      <w:pPr>
        <w:spacing w:after="0" w:line="360" w:lineRule="auto"/>
        <w:rPr>
          <w:sz w:val="24"/>
          <w:szCs w:val="24"/>
        </w:rPr>
      </w:pPr>
      <w:r>
        <w:rPr>
          <w:sz w:val="24"/>
          <w:szCs w:val="24"/>
        </w:rPr>
        <w:t xml:space="preserve">John </w:t>
      </w:r>
      <w:proofErr w:type="spellStart"/>
      <w:r>
        <w:rPr>
          <w:sz w:val="24"/>
          <w:szCs w:val="24"/>
        </w:rPr>
        <w:t>Pobee</w:t>
      </w:r>
      <w:proofErr w:type="spellEnd"/>
      <w:r>
        <w:rPr>
          <w:sz w:val="24"/>
          <w:szCs w:val="24"/>
        </w:rPr>
        <w:t xml:space="preserve"> of the</w:t>
      </w:r>
      <w:r w:rsidR="0047304E" w:rsidRPr="00DC26A4">
        <w:rPr>
          <w:sz w:val="24"/>
          <w:szCs w:val="24"/>
        </w:rPr>
        <w:t xml:space="preserve"> World Council of Churches</w:t>
      </w:r>
      <w:r>
        <w:rPr>
          <w:sz w:val="24"/>
          <w:szCs w:val="24"/>
        </w:rPr>
        <w:t xml:space="preserve"> is one of many to emphasise the</w:t>
      </w:r>
      <w:r w:rsidR="0047304E" w:rsidRPr="00DC26A4">
        <w:rPr>
          <w:sz w:val="24"/>
          <w:szCs w:val="24"/>
        </w:rPr>
        <w:t xml:space="preserve"> close link between theological education and the mission of the church. Theology cannot be allowed to become an abstract engagement with ideas, in isolation from the life, worship and witness of the church.</w:t>
      </w:r>
      <w:r w:rsidR="0047304E" w:rsidRPr="00DC26A4">
        <w:rPr>
          <w:rStyle w:val="FootnoteReference"/>
          <w:sz w:val="24"/>
          <w:szCs w:val="24"/>
        </w:rPr>
        <w:footnoteReference w:id="2"/>
      </w:r>
    </w:p>
    <w:p w:rsidR="0047304E" w:rsidRPr="00DC26A4" w:rsidRDefault="0047304E" w:rsidP="00DC26A4">
      <w:pPr>
        <w:spacing w:after="0" w:line="360" w:lineRule="auto"/>
        <w:ind w:left="720"/>
        <w:rPr>
          <w:sz w:val="24"/>
          <w:szCs w:val="24"/>
        </w:rPr>
      </w:pPr>
      <w:r w:rsidRPr="00DC26A4">
        <w:rPr>
          <w:sz w:val="24"/>
          <w:szCs w:val="24"/>
        </w:rPr>
        <w:t xml:space="preserve">There is consensus among us on the holistic character of theological education and ministerial formation, which is grounded in worship, and combines and inter-relates spirituality, academic excellence, mission and evangelism, justice and peace, pastoral sensitivity and competence, and the formation of character. </w:t>
      </w:r>
    </w:p>
    <w:p w:rsidR="0089702D" w:rsidRPr="00DC26A4" w:rsidRDefault="0047304E" w:rsidP="00DC26A4">
      <w:pPr>
        <w:spacing w:after="0" w:line="360" w:lineRule="auto"/>
        <w:rPr>
          <w:sz w:val="24"/>
          <w:szCs w:val="24"/>
        </w:rPr>
      </w:pPr>
      <w:r w:rsidRPr="00DC26A4">
        <w:rPr>
          <w:sz w:val="24"/>
          <w:szCs w:val="24"/>
        </w:rPr>
        <w:t>What we see here is the belief that we are called upon to do more than simply fill minds with ideas; we are to shape people, helping them to become what God wants them to be, giving them tools to discern and enact God’s will.</w:t>
      </w:r>
      <w:r w:rsidR="006A2EB0" w:rsidRPr="00DC26A4">
        <w:rPr>
          <w:sz w:val="24"/>
          <w:szCs w:val="24"/>
        </w:rPr>
        <w:t xml:space="preserve"> I am sure that each of you would want to nuance and parse these themes, giving them a weighting which you believe to be appropriate to the needs of your churches and communities. Yet this analysis is a helpful starting point, as it allows us to make some significant points.</w:t>
      </w:r>
    </w:p>
    <w:p w:rsidR="006A2EB0" w:rsidRPr="00DC26A4" w:rsidRDefault="006A2EB0" w:rsidP="00DC26A4">
      <w:pPr>
        <w:spacing w:after="0" w:line="360" w:lineRule="auto"/>
        <w:rPr>
          <w:sz w:val="24"/>
          <w:szCs w:val="24"/>
        </w:rPr>
      </w:pPr>
    </w:p>
    <w:p w:rsidR="00167F44" w:rsidRPr="00DC26A4" w:rsidRDefault="00167F44" w:rsidP="00DC26A4">
      <w:pPr>
        <w:spacing w:after="0" w:line="360" w:lineRule="auto"/>
        <w:rPr>
          <w:color w:val="000000"/>
          <w:sz w:val="24"/>
          <w:szCs w:val="24"/>
        </w:rPr>
      </w:pPr>
      <w:r w:rsidRPr="00DC26A4">
        <w:rPr>
          <w:sz w:val="24"/>
          <w:szCs w:val="24"/>
        </w:rPr>
        <w:t xml:space="preserve">First, </w:t>
      </w:r>
      <w:r w:rsidR="001E6649">
        <w:rPr>
          <w:sz w:val="24"/>
          <w:szCs w:val="24"/>
        </w:rPr>
        <w:t xml:space="preserve">it alerts us to the historical fact that </w:t>
      </w:r>
      <w:r w:rsidRPr="00DC26A4">
        <w:rPr>
          <w:sz w:val="24"/>
          <w:szCs w:val="24"/>
        </w:rPr>
        <w:t xml:space="preserve">the classical Protestant pattern of theological education tended to adopt an understanding of theology that was adapted to the western European context in the sixteenth and early seventeenth centuries. The tasks of the church were to educate the people, care for their needs, and to challenge injustice. The social context made mission unnecessary, even unthinkable. </w:t>
      </w:r>
      <w:r w:rsidRPr="00DC26A4">
        <w:rPr>
          <w:color w:val="000000"/>
          <w:sz w:val="24"/>
          <w:szCs w:val="24"/>
        </w:rPr>
        <w:t>The Protestant missionary movement subsequently exported this somewhat truncated understanding of theology, leading to the emergence of a pattern of theological education which usually consisted of only four disciplines: biblical studies, church history, systematic theology and pastoral care.</w:t>
      </w:r>
      <w:r w:rsidR="001E6649">
        <w:rPr>
          <w:color w:val="000000"/>
          <w:sz w:val="24"/>
          <w:szCs w:val="24"/>
        </w:rPr>
        <w:t xml:space="preserve"> Today, </w:t>
      </w:r>
      <w:r w:rsidR="00BA0300" w:rsidRPr="00DC26A4">
        <w:rPr>
          <w:color w:val="000000"/>
          <w:sz w:val="24"/>
          <w:szCs w:val="24"/>
        </w:rPr>
        <w:t xml:space="preserve">it </w:t>
      </w:r>
      <w:r w:rsidR="00BA0300" w:rsidRPr="00DC26A4">
        <w:rPr>
          <w:color w:val="000000"/>
          <w:sz w:val="24"/>
          <w:szCs w:val="24"/>
        </w:rPr>
        <w:lastRenderedPageBreak/>
        <w:t>is impossible to overlook the importance of apologetics and evangelism in relation to the mission and ministry of the church.</w:t>
      </w:r>
    </w:p>
    <w:p w:rsidR="00167F44" w:rsidRPr="00DC26A4" w:rsidRDefault="00167F44" w:rsidP="00DC26A4">
      <w:pPr>
        <w:spacing w:after="0" w:line="360" w:lineRule="auto"/>
        <w:rPr>
          <w:sz w:val="24"/>
          <w:szCs w:val="24"/>
        </w:rPr>
      </w:pPr>
    </w:p>
    <w:p w:rsidR="006A2EB0" w:rsidRPr="00DC26A4" w:rsidRDefault="00167F44" w:rsidP="00DC26A4">
      <w:pPr>
        <w:spacing w:after="0" w:line="360" w:lineRule="auto"/>
        <w:rPr>
          <w:sz w:val="24"/>
          <w:szCs w:val="24"/>
        </w:rPr>
      </w:pPr>
      <w:r w:rsidRPr="00DC26A4">
        <w:rPr>
          <w:sz w:val="24"/>
          <w:szCs w:val="24"/>
        </w:rPr>
        <w:t>Second</w:t>
      </w:r>
      <w:r w:rsidR="006A2EB0" w:rsidRPr="00DC26A4">
        <w:rPr>
          <w:sz w:val="24"/>
          <w:szCs w:val="24"/>
        </w:rPr>
        <w:t xml:space="preserve">, and most obviously: theological education cannot conceivably be regarded </w:t>
      </w:r>
      <w:r w:rsidR="00DC26A4">
        <w:rPr>
          <w:sz w:val="24"/>
          <w:szCs w:val="24"/>
        </w:rPr>
        <w:t xml:space="preserve">simply </w:t>
      </w:r>
      <w:r w:rsidR="006A2EB0" w:rsidRPr="00DC26A4">
        <w:rPr>
          <w:sz w:val="24"/>
          <w:szCs w:val="24"/>
        </w:rPr>
        <w:t xml:space="preserve">as the transference of knowledge, so that those being educated are immediately </w:t>
      </w:r>
      <w:r w:rsidR="00DC26A4">
        <w:rPr>
          <w:sz w:val="24"/>
          <w:szCs w:val="24"/>
        </w:rPr>
        <w:t xml:space="preserve">and completely </w:t>
      </w:r>
      <w:r w:rsidR="006A2EB0" w:rsidRPr="00DC26A4">
        <w:rPr>
          <w:sz w:val="24"/>
          <w:szCs w:val="24"/>
        </w:rPr>
        <w:t xml:space="preserve">equipped to </w:t>
      </w:r>
      <w:r w:rsidR="00847B38" w:rsidRPr="00DC26A4">
        <w:rPr>
          <w:sz w:val="24"/>
          <w:szCs w:val="24"/>
        </w:rPr>
        <w:t>serve God in a mature and final manner. Theological education lays a foundation; yet there is much more construction work that needs to be done. Theological education imparts information; yet we are looking for the transformation of the person, not simply the accumulation of information. We cannot hope to produce people of wisdom during the brief time that most institutions allocate to theological education – in England, now typically two years. How do we help our students to grow in wisdom, equipping them to learn from experience, and deepen their intellectual and spiritual grasp of the ri</w:t>
      </w:r>
      <w:r w:rsidR="00DC26A4">
        <w:rPr>
          <w:sz w:val="24"/>
          <w:szCs w:val="24"/>
        </w:rPr>
        <w:t>ches of the Christian tradition?</w:t>
      </w:r>
    </w:p>
    <w:p w:rsidR="00167F44" w:rsidRPr="00DC26A4" w:rsidRDefault="00167F44" w:rsidP="00DC26A4">
      <w:pPr>
        <w:spacing w:after="0" w:line="360" w:lineRule="auto"/>
        <w:rPr>
          <w:sz w:val="24"/>
          <w:szCs w:val="24"/>
        </w:rPr>
      </w:pPr>
    </w:p>
    <w:p w:rsidR="003177A2" w:rsidRPr="00DC26A4" w:rsidRDefault="00167F44" w:rsidP="00DC26A4">
      <w:pPr>
        <w:spacing w:after="0" w:line="360" w:lineRule="auto"/>
        <w:rPr>
          <w:sz w:val="24"/>
          <w:szCs w:val="24"/>
        </w:rPr>
      </w:pPr>
      <w:r w:rsidRPr="00DC26A4">
        <w:rPr>
          <w:sz w:val="24"/>
          <w:szCs w:val="24"/>
        </w:rPr>
        <w:t>Thir</w:t>
      </w:r>
      <w:r w:rsidR="003177A2" w:rsidRPr="00DC26A4">
        <w:rPr>
          <w:sz w:val="24"/>
          <w:szCs w:val="24"/>
        </w:rPr>
        <w:t xml:space="preserve">d, this acquisition of wisdom needs </w:t>
      </w:r>
      <w:r w:rsidR="003177A2" w:rsidRPr="00DC26A4">
        <w:rPr>
          <w:i/>
          <w:sz w:val="24"/>
          <w:szCs w:val="24"/>
        </w:rPr>
        <w:t>mentors</w:t>
      </w:r>
      <w:r w:rsidR="003177A2" w:rsidRPr="00DC26A4">
        <w:rPr>
          <w:sz w:val="24"/>
          <w:szCs w:val="24"/>
        </w:rPr>
        <w:t xml:space="preserve"> rather than </w:t>
      </w:r>
      <w:r w:rsidR="00157BBF" w:rsidRPr="00DC26A4">
        <w:rPr>
          <w:sz w:val="24"/>
          <w:szCs w:val="24"/>
        </w:rPr>
        <w:t xml:space="preserve">just </w:t>
      </w:r>
      <w:r w:rsidR="003177A2" w:rsidRPr="00DC26A4">
        <w:rPr>
          <w:i/>
          <w:sz w:val="24"/>
          <w:szCs w:val="24"/>
        </w:rPr>
        <w:t>lecturers</w:t>
      </w:r>
      <w:r w:rsidR="003177A2" w:rsidRPr="00DC26A4">
        <w:rPr>
          <w:sz w:val="24"/>
          <w:szCs w:val="24"/>
        </w:rPr>
        <w:t xml:space="preserve"> – that is to say, people who can help people make connections between theology and life. </w:t>
      </w:r>
      <w:r w:rsidR="00157BBF" w:rsidRPr="00DC26A4">
        <w:rPr>
          <w:sz w:val="24"/>
          <w:szCs w:val="24"/>
        </w:rPr>
        <w:t xml:space="preserve">To use language that is increasingly common in western culture at large, we need </w:t>
      </w:r>
      <w:r w:rsidR="00157BBF" w:rsidRPr="00DC26A4">
        <w:rPr>
          <w:i/>
          <w:sz w:val="24"/>
          <w:szCs w:val="24"/>
        </w:rPr>
        <w:t>coaching</w:t>
      </w:r>
      <w:r w:rsidR="00157BBF" w:rsidRPr="00DC26A4">
        <w:rPr>
          <w:sz w:val="24"/>
          <w:szCs w:val="24"/>
        </w:rPr>
        <w:t xml:space="preserve">, not just </w:t>
      </w:r>
      <w:r w:rsidR="00157BBF" w:rsidRPr="00DC26A4">
        <w:rPr>
          <w:i/>
          <w:sz w:val="24"/>
          <w:szCs w:val="24"/>
        </w:rPr>
        <w:t>educating</w:t>
      </w:r>
      <w:r w:rsidR="00157BBF" w:rsidRPr="00DC26A4">
        <w:rPr>
          <w:sz w:val="24"/>
          <w:szCs w:val="24"/>
        </w:rPr>
        <w:t xml:space="preserve">. </w:t>
      </w:r>
      <w:r w:rsidR="003177A2" w:rsidRPr="00DC26A4">
        <w:rPr>
          <w:sz w:val="24"/>
          <w:szCs w:val="24"/>
        </w:rPr>
        <w:t xml:space="preserve">My own experience as a theological educationalist suggests that this is not easy to do. We have all heard “sermons” which are basically expositions of a biblical text, delivered as if it was an academic lecture, making no connection with real life, other than offering a routine and somewhat predictable encouragement to read the Bible more, pray more, and trust God more. I have heard sermons based on the </w:t>
      </w:r>
      <w:proofErr w:type="spellStart"/>
      <w:r w:rsidR="003177A2" w:rsidRPr="00DC26A4">
        <w:rPr>
          <w:sz w:val="24"/>
          <w:szCs w:val="24"/>
        </w:rPr>
        <w:t>Westminister</w:t>
      </w:r>
      <w:proofErr w:type="spellEnd"/>
      <w:r w:rsidR="003177A2" w:rsidRPr="00DC26A4">
        <w:rPr>
          <w:sz w:val="24"/>
          <w:szCs w:val="24"/>
        </w:rPr>
        <w:t xml:space="preserve"> Confession of Faith which not only fail to connect with real life, but also fail to connect with the Bible. On asking the young preacher why he had mentioned the Bible so little, I was told that the Westminster Confession was so theologically sound that it made it unnece</w:t>
      </w:r>
      <w:r w:rsidR="00CC7308" w:rsidRPr="00DC26A4">
        <w:rPr>
          <w:sz w:val="24"/>
          <w:szCs w:val="24"/>
        </w:rPr>
        <w:t>ssary to engage with the Bible.</w:t>
      </w:r>
    </w:p>
    <w:p w:rsidR="00393001" w:rsidRPr="00DC26A4" w:rsidRDefault="00393001" w:rsidP="00DC26A4">
      <w:pPr>
        <w:spacing w:after="0" w:line="360" w:lineRule="auto"/>
        <w:rPr>
          <w:sz w:val="24"/>
          <w:szCs w:val="24"/>
        </w:rPr>
      </w:pPr>
    </w:p>
    <w:p w:rsidR="00393001" w:rsidRPr="00DC26A4" w:rsidRDefault="00393001" w:rsidP="00DC26A4">
      <w:pPr>
        <w:spacing w:after="0" w:line="360" w:lineRule="auto"/>
        <w:rPr>
          <w:sz w:val="24"/>
          <w:szCs w:val="24"/>
        </w:rPr>
      </w:pPr>
      <w:r w:rsidRPr="00DC26A4">
        <w:rPr>
          <w:sz w:val="24"/>
          <w:szCs w:val="24"/>
        </w:rPr>
        <w:t xml:space="preserve">Yet fourthly, we need to be cautious about the new emphasis on mission in theological education. Some recent writers have argued that theological education should be reformulated and refocused in the light of mission agendas. I have no doubt that this can help us regain a sense of perspective, and that this makes a lot of sense for evangelical institutions which see evangelism and mission as their overriding priority. But we need to be </w:t>
      </w:r>
      <w:r w:rsidRPr="00DC26A4">
        <w:rPr>
          <w:sz w:val="24"/>
          <w:szCs w:val="24"/>
        </w:rPr>
        <w:lastRenderedPageBreak/>
        <w:t xml:space="preserve">cautious here. For many churches in </w:t>
      </w:r>
      <w:proofErr w:type="gramStart"/>
      <w:r w:rsidRPr="00DC26A4">
        <w:rPr>
          <w:sz w:val="24"/>
          <w:szCs w:val="24"/>
        </w:rPr>
        <w:t>western</w:t>
      </w:r>
      <w:proofErr w:type="gramEnd"/>
      <w:r w:rsidRPr="00DC26A4">
        <w:rPr>
          <w:sz w:val="24"/>
          <w:szCs w:val="24"/>
        </w:rPr>
        <w:t xml:space="preserve"> Europe, the issue is not just about reaching out to secular culture; it is about caring for their own congregations, especially when they face cultural pressures to move away from church attendance. That means that we cannot lose sight of approaches to theological education which aim at spirituality and pastoral care – in other words, which focus on retaining and strengthening existing congregations, rather than concentrating excessively on reaching out beyond them. There is a danger that in orientating ourselves towards reaching </w:t>
      </w:r>
      <w:r w:rsidRPr="00DC26A4">
        <w:rPr>
          <w:i/>
          <w:sz w:val="24"/>
          <w:szCs w:val="24"/>
        </w:rPr>
        <w:t>beyond</w:t>
      </w:r>
      <w:r w:rsidRPr="00DC26A4">
        <w:rPr>
          <w:sz w:val="24"/>
          <w:szCs w:val="24"/>
        </w:rPr>
        <w:t xml:space="preserve"> our existing congregations, we </w:t>
      </w:r>
      <w:r w:rsidRPr="00DC26A4">
        <w:rPr>
          <w:i/>
          <w:sz w:val="24"/>
          <w:szCs w:val="24"/>
        </w:rPr>
        <w:t>lose</w:t>
      </w:r>
      <w:r w:rsidRPr="00DC26A4">
        <w:rPr>
          <w:sz w:val="24"/>
          <w:szCs w:val="24"/>
        </w:rPr>
        <w:t xml:space="preserve"> those we already have. There is clearly a question of balance and perspective here, which I think is relatively easily sorted out. Yet I think the issue needs more attention than it has been given.</w:t>
      </w:r>
    </w:p>
    <w:p w:rsidR="00CC7308" w:rsidRPr="00DC26A4" w:rsidRDefault="00CC7308" w:rsidP="00DC26A4">
      <w:pPr>
        <w:spacing w:after="0" w:line="360" w:lineRule="auto"/>
        <w:rPr>
          <w:sz w:val="24"/>
          <w:szCs w:val="24"/>
        </w:rPr>
      </w:pPr>
    </w:p>
    <w:p w:rsidR="00CC7308" w:rsidRPr="00DC26A4" w:rsidRDefault="007B26EF" w:rsidP="00DC26A4">
      <w:pPr>
        <w:spacing w:after="0" w:line="360" w:lineRule="auto"/>
        <w:rPr>
          <w:sz w:val="24"/>
          <w:szCs w:val="24"/>
        </w:rPr>
      </w:pPr>
      <w:r w:rsidRPr="00DC26A4">
        <w:rPr>
          <w:sz w:val="24"/>
          <w:szCs w:val="24"/>
        </w:rPr>
        <w:t xml:space="preserve">As </w:t>
      </w:r>
      <w:r w:rsidR="00CC7308" w:rsidRPr="00DC26A4">
        <w:rPr>
          <w:sz w:val="24"/>
          <w:szCs w:val="24"/>
        </w:rPr>
        <w:t>I</w:t>
      </w:r>
      <w:r w:rsidRPr="00DC26A4">
        <w:rPr>
          <w:sz w:val="24"/>
          <w:szCs w:val="24"/>
        </w:rPr>
        <w:t xml:space="preserve"> emphasised earlier in this lecture i</w:t>
      </w:r>
      <w:r w:rsidR="00CC7308" w:rsidRPr="00DC26A4">
        <w:rPr>
          <w:sz w:val="24"/>
          <w:szCs w:val="24"/>
        </w:rPr>
        <w:t xml:space="preserve">t is not my intention in this lecture to offer a global theory of theological education, but to provide stimulus to you as you reflect on your own situations, institutions, and concerns. </w:t>
      </w:r>
      <w:r w:rsidRPr="00DC26A4">
        <w:rPr>
          <w:sz w:val="24"/>
          <w:szCs w:val="24"/>
        </w:rPr>
        <w:t xml:space="preserve">I hope </w:t>
      </w:r>
      <w:r w:rsidR="00CC7308" w:rsidRPr="00DC26A4">
        <w:rPr>
          <w:sz w:val="24"/>
          <w:szCs w:val="24"/>
        </w:rPr>
        <w:t>to offer some reflections that may help you as you seek to advance the agendas and interests of your institutions.</w:t>
      </w:r>
      <w:r w:rsidRPr="00DC26A4">
        <w:rPr>
          <w:sz w:val="24"/>
          <w:szCs w:val="24"/>
        </w:rPr>
        <w:t xml:space="preserve"> So let me reflect with you on some issues.</w:t>
      </w:r>
    </w:p>
    <w:p w:rsidR="007B26EF" w:rsidRPr="00DC26A4" w:rsidRDefault="007B26EF" w:rsidP="00DC26A4">
      <w:pPr>
        <w:spacing w:after="0" w:line="360" w:lineRule="auto"/>
        <w:rPr>
          <w:sz w:val="24"/>
          <w:szCs w:val="24"/>
        </w:rPr>
      </w:pPr>
    </w:p>
    <w:p w:rsidR="00C861AA" w:rsidRPr="00DC26A4" w:rsidRDefault="00C861AA" w:rsidP="00DC26A4">
      <w:pPr>
        <w:spacing w:line="360" w:lineRule="auto"/>
        <w:rPr>
          <w:sz w:val="24"/>
          <w:szCs w:val="24"/>
          <w:vertAlign w:val="subscript"/>
        </w:rPr>
      </w:pPr>
      <w:r w:rsidRPr="00DC26A4">
        <w:rPr>
          <w:sz w:val="24"/>
          <w:szCs w:val="24"/>
        </w:rPr>
        <w:t>Theology, when rightly understood, cannot be understood simply as a certain way of thinking. It is the captivation of the human mind and imagination by the realities of the gospel, leading to a renewed way of seeing and understanding ourselves, communities, the world, the future, and each other</w:t>
      </w:r>
      <w:proofErr w:type="gramStart"/>
      <w:r w:rsidRPr="00DC26A4">
        <w:rPr>
          <w:sz w:val="24"/>
          <w:szCs w:val="24"/>
        </w:rPr>
        <w:t>..</w:t>
      </w:r>
      <w:proofErr w:type="gramEnd"/>
      <w:r w:rsidRPr="00DC26A4">
        <w:rPr>
          <w:sz w:val="24"/>
          <w:szCs w:val="24"/>
        </w:rPr>
        <w:t xml:space="preserve"> To do theology is to express a vision of reality, which involves setting an agenda for engagement and transformation. This vision of reality is the air that the church breathes; when the vision fades or is corrupted, the church withers.</w:t>
      </w:r>
    </w:p>
    <w:p w:rsidR="00E679CB" w:rsidRPr="00DC26A4" w:rsidRDefault="007B26EF" w:rsidP="00DC26A4">
      <w:pPr>
        <w:spacing w:line="360" w:lineRule="auto"/>
        <w:rPr>
          <w:b/>
          <w:sz w:val="24"/>
          <w:szCs w:val="24"/>
        </w:rPr>
      </w:pPr>
      <w:r w:rsidRPr="00DC26A4">
        <w:rPr>
          <w:sz w:val="24"/>
          <w:szCs w:val="24"/>
        </w:rPr>
        <w:t xml:space="preserve">I want to suggest that theological education is partly about </w:t>
      </w:r>
      <w:r w:rsidRPr="00DC26A4">
        <w:rPr>
          <w:i/>
          <w:sz w:val="24"/>
          <w:szCs w:val="24"/>
        </w:rPr>
        <w:t>vision-building</w:t>
      </w:r>
      <w:r w:rsidRPr="00DC26A4">
        <w:rPr>
          <w:sz w:val="24"/>
          <w:szCs w:val="24"/>
        </w:rPr>
        <w:t>. What do I mean by this? I mean that we need to help our students get a sense of the “big picture” of life which the gospel offers, and develop a strong sense of identity, purpose, and ability to make a difference on behalf of Christ.</w:t>
      </w:r>
      <w:r w:rsidR="00E679CB" w:rsidRPr="00DC26A4">
        <w:rPr>
          <w:sz w:val="24"/>
          <w:szCs w:val="24"/>
        </w:rPr>
        <w:t xml:space="preserve"> The social psychologist Roy </w:t>
      </w:r>
      <w:proofErr w:type="spellStart"/>
      <w:r w:rsidR="00E679CB" w:rsidRPr="00DC26A4">
        <w:rPr>
          <w:sz w:val="24"/>
          <w:szCs w:val="24"/>
        </w:rPr>
        <w:t>Baumeister</w:t>
      </w:r>
      <w:proofErr w:type="spellEnd"/>
      <w:r w:rsidR="00E679CB" w:rsidRPr="00DC26A4">
        <w:rPr>
          <w:sz w:val="24"/>
          <w:szCs w:val="24"/>
        </w:rPr>
        <w:t xml:space="preserve"> recently set out a significant analysis of theories of the meaning of life, in which he identified what themes </w:t>
      </w:r>
      <w:r w:rsidR="00E679CB" w:rsidRPr="00DC26A4">
        <w:rPr>
          <w:sz w:val="24"/>
          <w:szCs w:val="24"/>
        </w:rPr>
        <w:lastRenderedPageBreak/>
        <w:t>had to be engaged and explored before the human quest for meaning could be satisfied. There were, he argued, four fundamental questions that had to be answered convincingly:</w:t>
      </w:r>
      <w:r w:rsidR="004D4B24" w:rsidRPr="00DC26A4">
        <w:rPr>
          <w:rStyle w:val="FootnoteReference"/>
          <w:sz w:val="24"/>
          <w:szCs w:val="24"/>
        </w:rPr>
        <w:footnoteReference w:id="3"/>
      </w:r>
      <w:r w:rsidR="00817F1A" w:rsidRPr="00DC26A4">
        <w:rPr>
          <w:sz w:val="24"/>
          <w:szCs w:val="24"/>
        </w:rPr>
        <w:t xml:space="preserve"> </w:t>
      </w:r>
    </w:p>
    <w:p w:rsidR="00E679CB" w:rsidRPr="00DC26A4" w:rsidRDefault="00E679CB" w:rsidP="00DC26A4">
      <w:pPr>
        <w:spacing w:line="360" w:lineRule="auto"/>
        <w:ind w:left="720"/>
        <w:rPr>
          <w:sz w:val="24"/>
          <w:szCs w:val="24"/>
        </w:rPr>
      </w:pPr>
      <w:r w:rsidRPr="00DC26A4">
        <w:rPr>
          <w:sz w:val="24"/>
          <w:szCs w:val="24"/>
        </w:rPr>
        <w:t xml:space="preserve">1. The question of </w:t>
      </w:r>
      <w:r w:rsidRPr="00DC26A4">
        <w:rPr>
          <w:i/>
          <w:sz w:val="24"/>
          <w:szCs w:val="24"/>
        </w:rPr>
        <w:t>Identity</w:t>
      </w:r>
      <w:r w:rsidRPr="00DC26A4">
        <w:rPr>
          <w:sz w:val="24"/>
          <w:szCs w:val="24"/>
        </w:rPr>
        <w:t>: who am I?</w:t>
      </w:r>
    </w:p>
    <w:p w:rsidR="00E679CB" w:rsidRPr="00DC26A4" w:rsidRDefault="00E679CB" w:rsidP="00DC26A4">
      <w:pPr>
        <w:spacing w:line="360" w:lineRule="auto"/>
        <w:ind w:left="720"/>
        <w:rPr>
          <w:sz w:val="24"/>
          <w:szCs w:val="24"/>
        </w:rPr>
      </w:pPr>
      <w:r w:rsidRPr="00DC26A4">
        <w:rPr>
          <w:sz w:val="24"/>
          <w:szCs w:val="24"/>
        </w:rPr>
        <w:t xml:space="preserve">2. The question of </w:t>
      </w:r>
      <w:r w:rsidRPr="00DC26A4">
        <w:rPr>
          <w:i/>
          <w:sz w:val="24"/>
          <w:szCs w:val="24"/>
        </w:rPr>
        <w:t>Value</w:t>
      </w:r>
      <w:r w:rsidRPr="00DC26A4">
        <w:rPr>
          <w:sz w:val="24"/>
          <w:szCs w:val="24"/>
        </w:rPr>
        <w:t>: do I matter?</w:t>
      </w:r>
    </w:p>
    <w:p w:rsidR="00E679CB" w:rsidRPr="00DC26A4" w:rsidRDefault="00E679CB" w:rsidP="00DC26A4">
      <w:pPr>
        <w:spacing w:line="360" w:lineRule="auto"/>
        <w:ind w:left="720"/>
        <w:rPr>
          <w:sz w:val="24"/>
          <w:szCs w:val="24"/>
        </w:rPr>
      </w:pPr>
      <w:r w:rsidRPr="00DC26A4">
        <w:rPr>
          <w:sz w:val="24"/>
          <w:szCs w:val="24"/>
        </w:rPr>
        <w:t xml:space="preserve">3. The question of </w:t>
      </w:r>
      <w:r w:rsidRPr="00DC26A4">
        <w:rPr>
          <w:i/>
          <w:sz w:val="24"/>
          <w:szCs w:val="24"/>
        </w:rPr>
        <w:t>Purpose</w:t>
      </w:r>
      <w:r w:rsidRPr="00DC26A4">
        <w:rPr>
          <w:sz w:val="24"/>
          <w:szCs w:val="24"/>
        </w:rPr>
        <w:t>: why am I here?</w:t>
      </w:r>
    </w:p>
    <w:p w:rsidR="00E679CB" w:rsidRPr="00DC26A4" w:rsidRDefault="00E679CB" w:rsidP="00DC26A4">
      <w:pPr>
        <w:spacing w:line="360" w:lineRule="auto"/>
        <w:ind w:left="720"/>
        <w:rPr>
          <w:sz w:val="24"/>
          <w:szCs w:val="24"/>
        </w:rPr>
      </w:pPr>
      <w:r w:rsidRPr="00DC26A4">
        <w:rPr>
          <w:sz w:val="24"/>
          <w:szCs w:val="24"/>
        </w:rPr>
        <w:t xml:space="preserve">4. The question of </w:t>
      </w:r>
      <w:r w:rsidRPr="00DC26A4">
        <w:rPr>
          <w:i/>
          <w:sz w:val="24"/>
          <w:szCs w:val="24"/>
        </w:rPr>
        <w:t>Agency</w:t>
      </w:r>
      <w:r w:rsidRPr="00DC26A4">
        <w:rPr>
          <w:sz w:val="24"/>
          <w:szCs w:val="24"/>
        </w:rPr>
        <w:t>: can I make a difference?</w:t>
      </w:r>
    </w:p>
    <w:p w:rsidR="003E3001" w:rsidRPr="00DC26A4" w:rsidRDefault="00E679CB" w:rsidP="00DC26A4">
      <w:pPr>
        <w:spacing w:after="0" w:line="360" w:lineRule="auto"/>
        <w:rPr>
          <w:sz w:val="24"/>
          <w:szCs w:val="24"/>
        </w:rPr>
      </w:pPr>
      <w:proofErr w:type="spellStart"/>
      <w:r w:rsidRPr="00DC26A4">
        <w:rPr>
          <w:sz w:val="24"/>
          <w:szCs w:val="24"/>
        </w:rPr>
        <w:t>Baumeister</w:t>
      </w:r>
      <w:proofErr w:type="spellEnd"/>
      <w:r w:rsidRPr="00DC26A4">
        <w:rPr>
          <w:sz w:val="24"/>
          <w:szCs w:val="24"/>
        </w:rPr>
        <w:t xml:space="preserve"> argues that we cannot live without formulating answers to such questions. I would suggest that each of these are fundamental to evangelical theological education, in that the gospel provides powerful and deep answers to these questions that motivate and direct mission, ministry and service</w:t>
      </w:r>
      <w:r w:rsidR="00DC26A4">
        <w:rPr>
          <w:sz w:val="24"/>
          <w:szCs w:val="24"/>
        </w:rPr>
        <w:t>.</w:t>
      </w:r>
      <w:r w:rsidR="0040066F">
        <w:rPr>
          <w:sz w:val="24"/>
          <w:szCs w:val="24"/>
        </w:rPr>
        <w:t xml:space="preserve"> We must help our students sort themselves out as believers, as much as try to educate them from service in ministry and in the academy. We need to help them discover that they are special in God’s sight; that they are called and loved by him; that they are entrusted with God’s tasks and supported by God’s promises; and that, by God’s grace, they can indeed make a difference to the church and the world.</w:t>
      </w:r>
    </w:p>
    <w:p w:rsidR="00E679CB" w:rsidRPr="00DC26A4" w:rsidRDefault="00E679CB" w:rsidP="00DC26A4">
      <w:pPr>
        <w:spacing w:after="0" w:line="360" w:lineRule="auto"/>
        <w:rPr>
          <w:sz w:val="24"/>
          <w:szCs w:val="24"/>
        </w:rPr>
      </w:pPr>
    </w:p>
    <w:p w:rsidR="00E679CB" w:rsidRPr="00DC26A4" w:rsidRDefault="00E679CB" w:rsidP="00DC26A4">
      <w:pPr>
        <w:spacing w:after="0" w:line="360" w:lineRule="auto"/>
        <w:rPr>
          <w:sz w:val="24"/>
          <w:szCs w:val="24"/>
        </w:rPr>
      </w:pPr>
      <w:r w:rsidRPr="00DC26A4">
        <w:rPr>
          <w:sz w:val="24"/>
          <w:szCs w:val="24"/>
        </w:rPr>
        <w:t xml:space="preserve">I hope that this helps you see what I mean when I talk about the need for evangelical theological education to help students build a vision – a vision of </w:t>
      </w:r>
      <w:proofErr w:type="gramStart"/>
      <w:r w:rsidRPr="00DC26A4">
        <w:rPr>
          <w:sz w:val="24"/>
          <w:szCs w:val="24"/>
        </w:rPr>
        <w:t>who</w:t>
      </w:r>
      <w:proofErr w:type="gramEnd"/>
      <w:r w:rsidRPr="00DC26A4">
        <w:rPr>
          <w:sz w:val="24"/>
          <w:szCs w:val="24"/>
        </w:rPr>
        <w:t xml:space="preserve"> God is, of what the gospel is, and who they are. </w:t>
      </w:r>
      <w:r w:rsidR="001E6649">
        <w:rPr>
          <w:sz w:val="24"/>
          <w:szCs w:val="24"/>
        </w:rPr>
        <w:t>They need to be excited and refreshed by their joyful discovery of the glory and majesty of God. They need to be nourished in the truth of the gospel, and helped to discover how it relates to the rich tapestry of life, with the capacity to transform and renew people. And they need to discover how a gracious God enables and empowers them to preach and minister, despite their own personal weaknesses and failings, and despite the many challenges we face in society and the church.</w:t>
      </w:r>
    </w:p>
    <w:p w:rsidR="006916A8" w:rsidRPr="00DC26A4" w:rsidRDefault="006916A8" w:rsidP="00DC26A4">
      <w:pPr>
        <w:spacing w:after="0" w:line="360" w:lineRule="auto"/>
        <w:rPr>
          <w:sz w:val="24"/>
          <w:szCs w:val="24"/>
        </w:rPr>
      </w:pPr>
    </w:p>
    <w:p w:rsidR="006916A8" w:rsidRDefault="006916A8" w:rsidP="00DC26A4">
      <w:pPr>
        <w:spacing w:after="0" w:line="360" w:lineRule="auto"/>
        <w:rPr>
          <w:sz w:val="24"/>
          <w:szCs w:val="24"/>
        </w:rPr>
      </w:pPr>
      <w:r w:rsidRPr="00DC26A4">
        <w:rPr>
          <w:sz w:val="24"/>
          <w:szCs w:val="24"/>
        </w:rPr>
        <w:t xml:space="preserve">The essential point is that </w:t>
      </w:r>
      <w:r w:rsidR="001E6649">
        <w:rPr>
          <w:sz w:val="24"/>
          <w:szCs w:val="24"/>
        </w:rPr>
        <w:t>theology</w:t>
      </w:r>
      <w:r w:rsidRPr="00DC26A4">
        <w:rPr>
          <w:sz w:val="24"/>
          <w:szCs w:val="24"/>
        </w:rPr>
        <w:t xml:space="preserve"> is </w:t>
      </w:r>
      <w:r w:rsidR="001E6649">
        <w:rPr>
          <w:sz w:val="24"/>
          <w:szCs w:val="24"/>
        </w:rPr>
        <w:t xml:space="preserve">about </w:t>
      </w:r>
      <w:r w:rsidRPr="00DC26A4">
        <w:rPr>
          <w:sz w:val="24"/>
          <w:szCs w:val="24"/>
        </w:rPr>
        <w:t xml:space="preserve">more than just an accumulation of knowledge. It is </w:t>
      </w:r>
      <w:r w:rsidR="001E6649">
        <w:rPr>
          <w:sz w:val="24"/>
          <w:szCs w:val="24"/>
        </w:rPr>
        <w:t xml:space="preserve">about </w:t>
      </w:r>
      <w:r w:rsidRPr="00DC26A4">
        <w:rPr>
          <w:sz w:val="24"/>
          <w:szCs w:val="24"/>
        </w:rPr>
        <w:t>more than the acquisition of professional skills. It is about nurturing a relationship with God, deepening our appreciation of the wonder of the gospel, and energizing and motivating students to serve with passion and commitment.</w:t>
      </w:r>
      <w:r w:rsidR="007E7EB3" w:rsidRPr="00DC26A4">
        <w:rPr>
          <w:sz w:val="24"/>
          <w:szCs w:val="24"/>
        </w:rPr>
        <w:t xml:space="preserve"> Theological education is about </w:t>
      </w:r>
      <w:r w:rsidR="007E7EB3" w:rsidRPr="00DC26A4">
        <w:rPr>
          <w:sz w:val="24"/>
          <w:szCs w:val="24"/>
        </w:rPr>
        <w:lastRenderedPageBreak/>
        <w:t>cultivating and encouraging a discipleship of the heart, the mind, and the hands.</w:t>
      </w:r>
      <w:r w:rsidR="00F61C9C">
        <w:rPr>
          <w:sz w:val="24"/>
          <w:szCs w:val="24"/>
        </w:rPr>
        <w:t xml:space="preserve"> “You shall love the Lord your God with all your heart, with all your soul, </w:t>
      </w:r>
      <w:r w:rsidR="005B30E4">
        <w:rPr>
          <w:sz w:val="24"/>
          <w:szCs w:val="24"/>
        </w:rPr>
        <w:t xml:space="preserve">and </w:t>
      </w:r>
      <w:r w:rsidR="00F61C9C">
        <w:rPr>
          <w:sz w:val="24"/>
          <w:szCs w:val="24"/>
        </w:rPr>
        <w:t xml:space="preserve">with </w:t>
      </w:r>
      <w:proofErr w:type="gramStart"/>
      <w:r w:rsidR="00F61C9C">
        <w:rPr>
          <w:sz w:val="24"/>
          <w:szCs w:val="24"/>
        </w:rPr>
        <w:t>all your</w:t>
      </w:r>
      <w:proofErr w:type="gramEnd"/>
      <w:r w:rsidR="00F61C9C">
        <w:rPr>
          <w:sz w:val="24"/>
          <w:szCs w:val="24"/>
        </w:rPr>
        <w:t xml:space="preserve"> mind” (</w:t>
      </w:r>
      <w:r w:rsidR="005B30E4">
        <w:rPr>
          <w:sz w:val="24"/>
          <w:szCs w:val="24"/>
        </w:rPr>
        <w:t xml:space="preserve">Matthew 22.37). </w:t>
      </w:r>
    </w:p>
    <w:p w:rsidR="005B30E4" w:rsidRDefault="005B30E4" w:rsidP="00DC26A4">
      <w:pPr>
        <w:spacing w:after="0" w:line="360" w:lineRule="auto"/>
        <w:rPr>
          <w:sz w:val="24"/>
          <w:szCs w:val="24"/>
        </w:rPr>
      </w:pPr>
    </w:p>
    <w:p w:rsidR="005B30E4" w:rsidRPr="00DC26A4" w:rsidRDefault="00C62E52" w:rsidP="00DC26A4">
      <w:pPr>
        <w:spacing w:after="0" w:line="360" w:lineRule="auto"/>
        <w:rPr>
          <w:sz w:val="24"/>
          <w:szCs w:val="24"/>
        </w:rPr>
      </w:pPr>
      <w:r>
        <w:rPr>
          <w:sz w:val="24"/>
          <w:szCs w:val="24"/>
        </w:rPr>
        <w:t>It is up to us</w:t>
      </w:r>
      <w:r w:rsidR="005B30E4">
        <w:rPr>
          <w:sz w:val="24"/>
          <w:szCs w:val="24"/>
        </w:rPr>
        <w:t xml:space="preserve"> to translate this vision and this need into a programme of theological education.</w:t>
      </w:r>
      <w:r>
        <w:rPr>
          <w:sz w:val="24"/>
          <w:szCs w:val="24"/>
        </w:rPr>
        <w:t xml:space="preserve"> I have no doubt that you will </w:t>
      </w:r>
      <w:r w:rsidR="00E933D8">
        <w:rPr>
          <w:sz w:val="24"/>
          <w:szCs w:val="24"/>
        </w:rPr>
        <w:t xml:space="preserve">be able to </w:t>
      </w:r>
      <w:r>
        <w:rPr>
          <w:sz w:val="24"/>
          <w:szCs w:val="24"/>
        </w:rPr>
        <w:t>rise to this challenge!</w:t>
      </w:r>
    </w:p>
    <w:sectPr w:rsidR="005B30E4" w:rsidRPr="00DC26A4" w:rsidSect="0036326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3E" w:rsidRDefault="00962A3E" w:rsidP="0047304E">
      <w:pPr>
        <w:spacing w:after="0" w:line="240" w:lineRule="auto"/>
      </w:pPr>
      <w:r>
        <w:separator/>
      </w:r>
    </w:p>
  </w:endnote>
  <w:endnote w:type="continuationSeparator" w:id="0">
    <w:p w:rsidR="00962A3E" w:rsidRDefault="00962A3E" w:rsidP="0047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131310912"/>
      <w:docPartObj>
        <w:docPartGallery w:val="Page Numbers (Bottom of Page)"/>
        <w:docPartUnique/>
      </w:docPartObj>
    </w:sdtPr>
    <w:sdtEndPr>
      <w:rPr>
        <w:noProof/>
      </w:rPr>
    </w:sdtEndPr>
    <w:sdtContent>
      <w:p w:rsidR="00981B53" w:rsidRPr="00E933D8" w:rsidRDefault="007B42B3">
        <w:pPr>
          <w:pStyle w:val="Footer"/>
          <w:jc w:val="right"/>
          <w:rPr>
            <w:sz w:val="18"/>
            <w:szCs w:val="18"/>
          </w:rPr>
        </w:pPr>
        <w:r w:rsidRPr="00E933D8">
          <w:rPr>
            <w:sz w:val="18"/>
            <w:szCs w:val="18"/>
          </w:rPr>
          <w:fldChar w:fldCharType="begin"/>
        </w:r>
        <w:r w:rsidRPr="00E933D8">
          <w:rPr>
            <w:sz w:val="18"/>
            <w:szCs w:val="18"/>
          </w:rPr>
          <w:instrText xml:space="preserve"> PAGE   \* MERGEFORMAT </w:instrText>
        </w:r>
        <w:r w:rsidRPr="00E933D8">
          <w:rPr>
            <w:sz w:val="18"/>
            <w:szCs w:val="18"/>
          </w:rPr>
          <w:fldChar w:fldCharType="separate"/>
        </w:r>
        <w:r w:rsidR="000537D0">
          <w:rPr>
            <w:noProof/>
            <w:sz w:val="18"/>
            <w:szCs w:val="18"/>
          </w:rPr>
          <w:t>8</w:t>
        </w:r>
        <w:r w:rsidRPr="00E933D8">
          <w:rPr>
            <w:noProof/>
            <w:sz w:val="18"/>
            <w:szCs w:val="18"/>
          </w:rPr>
          <w:fldChar w:fldCharType="end"/>
        </w:r>
      </w:p>
    </w:sdtContent>
  </w:sdt>
  <w:p w:rsidR="00981B53" w:rsidRDefault="00981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3E" w:rsidRDefault="00962A3E" w:rsidP="0047304E">
      <w:pPr>
        <w:spacing w:after="0" w:line="240" w:lineRule="auto"/>
      </w:pPr>
      <w:r>
        <w:separator/>
      </w:r>
    </w:p>
  </w:footnote>
  <w:footnote w:type="continuationSeparator" w:id="0">
    <w:p w:rsidR="00962A3E" w:rsidRDefault="00962A3E" w:rsidP="0047304E">
      <w:pPr>
        <w:spacing w:after="0" w:line="240" w:lineRule="auto"/>
      </w:pPr>
      <w:r>
        <w:continuationSeparator/>
      </w:r>
    </w:p>
  </w:footnote>
  <w:footnote w:id="1">
    <w:p w:rsidR="00EE1EEE" w:rsidRDefault="00EE1EEE">
      <w:pPr>
        <w:pStyle w:val="FootnoteText"/>
      </w:pPr>
      <w:r>
        <w:rPr>
          <w:rStyle w:val="FootnoteReference"/>
        </w:rPr>
        <w:footnoteRef/>
      </w:r>
      <w:r>
        <w:t xml:space="preserve"> </w:t>
      </w:r>
      <w:r w:rsidRPr="005226A6">
        <w:t xml:space="preserve">Austin </w:t>
      </w:r>
      <w:proofErr w:type="spellStart"/>
      <w:r w:rsidRPr="005226A6">
        <w:t>Farrer</w:t>
      </w:r>
      <w:proofErr w:type="spellEnd"/>
      <w:r w:rsidRPr="005226A6">
        <w:t xml:space="preserve">, “The Christian Apologist.” </w:t>
      </w:r>
      <w:proofErr w:type="gramStart"/>
      <w:r w:rsidRPr="005226A6">
        <w:t xml:space="preserve">In </w:t>
      </w:r>
      <w:r w:rsidRPr="005226A6">
        <w:rPr>
          <w:i/>
          <w:iCs/>
        </w:rPr>
        <w:t>Light on C.S. Lewis</w:t>
      </w:r>
      <w:r>
        <w:t>.</w:t>
      </w:r>
      <w:proofErr w:type="gramEnd"/>
      <w:r>
        <w:t xml:space="preserve"> </w:t>
      </w:r>
      <w:r w:rsidRPr="005226A6">
        <w:t xml:space="preserve">London: Geoffrey </w:t>
      </w:r>
      <w:proofErr w:type="spellStart"/>
      <w:r w:rsidRPr="005226A6">
        <w:t>Bles</w:t>
      </w:r>
      <w:proofErr w:type="spellEnd"/>
      <w:r w:rsidRPr="005226A6">
        <w:t>, 1965</w:t>
      </w:r>
      <w:r>
        <w:t xml:space="preserve">, </w:t>
      </w:r>
      <w:r w:rsidRPr="005226A6">
        <w:t>26.</w:t>
      </w:r>
    </w:p>
  </w:footnote>
  <w:footnote w:id="2">
    <w:p w:rsidR="00981B53" w:rsidRPr="00901FD9" w:rsidRDefault="00981B53" w:rsidP="00901FD9">
      <w:pPr>
        <w:pStyle w:val="FootnoteText"/>
        <w:rPr>
          <w:rFonts w:cstheme="minorHAnsi"/>
          <w:sz w:val="22"/>
          <w:szCs w:val="22"/>
        </w:rPr>
      </w:pPr>
      <w:r w:rsidRPr="00901FD9">
        <w:rPr>
          <w:rStyle w:val="FootnoteReference"/>
          <w:rFonts w:cstheme="minorHAnsi"/>
          <w:sz w:val="22"/>
          <w:szCs w:val="22"/>
        </w:rPr>
        <w:footnoteRef/>
      </w:r>
      <w:r w:rsidRPr="00901FD9">
        <w:rPr>
          <w:rFonts w:cstheme="minorHAnsi"/>
          <w:sz w:val="22"/>
          <w:szCs w:val="22"/>
        </w:rPr>
        <w:t xml:space="preserve"> </w:t>
      </w:r>
      <w:proofErr w:type="gramStart"/>
      <w:r w:rsidR="00183287">
        <w:rPr>
          <w:rFonts w:cstheme="minorHAnsi"/>
          <w:sz w:val="22"/>
          <w:szCs w:val="22"/>
        </w:rPr>
        <w:t xml:space="preserve">John S. </w:t>
      </w:r>
      <w:proofErr w:type="spellStart"/>
      <w:r w:rsidR="00183287">
        <w:rPr>
          <w:rFonts w:cstheme="minorHAnsi"/>
          <w:sz w:val="22"/>
          <w:szCs w:val="22"/>
        </w:rPr>
        <w:t>Pobee</w:t>
      </w:r>
      <w:proofErr w:type="spellEnd"/>
      <w:r w:rsidR="00183287">
        <w:rPr>
          <w:rFonts w:cstheme="minorHAnsi"/>
          <w:sz w:val="22"/>
          <w:szCs w:val="22"/>
        </w:rPr>
        <w:t xml:space="preserve">, </w:t>
      </w:r>
      <w:r w:rsidR="00183287" w:rsidRPr="00183287">
        <w:rPr>
          <w:rFonts w:cstheme="minorHAnsi"/>
          <w:i/>
          <w:sz w:val="22"/>
          <w:szCs w:val="22"/>
        </w:rPr>
        <w:t>Towards Viable Theological Education</w:t>
      </w:r>
      <w:r w:rsidR="00183287">
        <w:rPr>
          <w:rFonts w:cstheme="minorHAnsi"/>
          <w:i/>
          <w:sz w:val="22"/>
          <w:szCs w:val="22"/>
        </w:rPr>
        <w:t>.</w:t>
      </w:r>
      <w:proofErr w:type="gramEnd"/>
      <w:r w:rsidR="00183287">
        <w:rPr>
          <w:rFonts w:cstheme="minorHAnsi"/>
          <w:i/>
          <w:sz w:val="22"/>
          <w:szCs w:val="22"/>
        </w:rPr>
        <w:t xml:space="preserve"> </w:t>
      </w:r>
      <w:r w:rsidR="00183287" w:rsidRPr="00183287">
        <w:rPr>
          <w:rFonts w:cstheme="minorHAnsi"/>
          <w:sz w:val="22"/>
          <w:szCs w:val="22"/>
        </w:rPr>
        <w:t>Geneva: WCC Publications, 1997</w:t>
      </w:r>
      <w:r w:rsidR="00183287">
        <w:rPr>
          <w:rFonts w:cstheme="minorHAnsi"/>
          <w:sz w:val="22"/>
          <w:szCs w:val="22"/>
        </w:rPr>
        <w:t xml:space="preserve">, </w:t>
      </w:r>
      <w:r w:rsidRPr="00901FD9">
        <w:rPr>
          <w:rFonts w:cstheme="minorHAnsi"/>
          <w:sz w:val="22"/>
          <w:szCs w:val="22"/>
        </w:rPr>
        <w:t xml:space="preserve">1.  </w:t>
      </w:r>
    </w:p>
  </w:footnote>
  <w:footnote w:id="3">
    <w:p w:rsidR="00981B53" w:rsidRDefault="00981B53">
      <w:pPr>
        <w:pStyle w:val="FootnoteText"/>
      </w:pPr>
      <w:r>
        <w:rPr>
          <w:rStyle w:val="FootnoteReference"/>
        </w:rPr>
        <w:footnoteRef/>
      </w:r>
      <w:r>
        <w:t xml:space="preserve"> </w:t>
      </w:r>
      <w:r w:rsidRPr="004D4B24">
        <w:t xml:space="preserve">Roy </w:t>
      </w:r>
      <w:proofErr w:type="spellStart"/>
      <w:r w:rsidRPr="004D4B24">
        <w:t>Baumeister</w:t>
      </w:r>
      <w:proofErr w:type="spellEnd"/>
      <w:r w:rsidRPr="004D4B24">
        <w:t xml:space="preserve">, </w:t>
      </w:r>
      <w:r w:rsidRPr="004D4B24">
        <w:rPr>
          <w:i/>
          <w:iCs/>
        </w:rPr>
        <w:t>Meanings of Life</w:t>
      </w:r>
      <w:r w:rsidRPr="004D4B24">
        <w:t>. New York: Guilford Press, 1991, 29-57</w:t>
      </w:r>
      <w:r w:rsidR="00EE1EE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81D64"/>
    <w:multiLevelType w:val="hybridMultilevel"/>
    <w:tmpl w:val="842A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8059F"/>
    <w:multiLevelType w:val="hybridMultilevel"/>
    <w:tmpl w:val="4B56A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F80CC7"/>
    <w:multiLevelType w:val="hybridMultilevel"/>
    <w:tmpl w:val="69542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02D"/>
    <w:rsid w:val="000202D7"/>
    <w:rsid w:val="00032100"/>
    <w:rsid w:val="000537D0"/>
    <w:rsid w:val="00082A0B"/>
    <w:rsid w:val="00115771"/>
    <w:rsid w:val="00157BBF"/>
    <w:rsid w:val="00167F44"/>
    <w:rsid w:val="00183287"/>
    <w:rsid w:val="001E2B03"/>
    <w:rsid w:val="001E6649"/>
    <w:rsid w:val="00287FB5"/>
    <w:rsid w:val="003177A2"/>
    <w:rsid w:val="00347721"/>
    <w:rsid w:val="0036326B"/>
    <w:rsid w:val="00393001"/>
    <w:rsid w:val="003E3001"/>
    <w:rsid w:val="003F5AEB"/>
    <w:rsid w:val="0040066F"/>
    <w:rsid w:val="00404D78"/>
    <w:rsid w:val="0047304E"/>
    <w:rsid w:val="004745F4"/>
    <w:rsid w:val="004D4B24"/>
    <w:rsid w:val="005035E4"/>
    <w:rsid w:val="00552C83"/>
    <w:rsid w:val="00554E19"/>
    <w:rsid w:val="00570576"/>
    <w:rsid w:val="005B30E4"/>
    <w:rsid w:val="005C2ABA"/>
    <w:rsid w:val="006916A8"/>
    <w:rsid w:val="006A2EB0"/>
    <w:rsid w:val="00733F1A"/>
    <w:rsid w:val="007743C1"/>
    <w:rsid w:val="007B26EF"/>
    <w:rsid w:val="007B42B3"/>
    <w:rsid w:val="007E7EB3"/>
    <w:rsid w:val="00817F1A"/>
    <w:rsid w:val="00847B38"/>
    <w:rsid w:val="00860913"/>
    <w:rsid w:val="00890940"/>
    <w:rsid w:val="0089702D"/>
    <w:rsid w:val="008C2EA1"/>
    <w:rsid w:val="00901FD9"/>
    <w:rsid w:val="00962A3E"/>
    <w:rsid w:val="00981B53"/>
    <w:rsid w:val="00AB1599"/>
    <w:rsid w:val="00BA0300"/>
    <w:rsid w:val="00C15E88"/>
    <w:rsid w:val="00C43073"/>
    <w:rsid w:val="00C62E52"/>
    <w:rsid w:val="00C861AA"/>
    <w:rsid w:val="00C92C27"/>
    <w:rsid w:val="00CA0AFC"/>
    <w:rsid w:val="00CC7308"/>
    <w:rsid w:val="00CD590E"/>
    <w:rsid w:val="00D35663"/>
    <w:rsid w:val="00D66366"/>
    <w:rsid w:val="00D8535F"/>
    <w:rsid w:val="00DC26A4"/>
    <w:rsid w:val="00E2505A"/>
    <w:rsid w:val="00E51CBF"/>
    <w:rsid w:val="00E679CB"/>
    <w:rsid w:val="00E70A9A"/>
    <w:rsid w:val="00E933D8"/>
    <w:rsid w:val="00EE1EEE"/>
    <w:rsid w:val="00F541E7"/>
    <w:rsid w:val="00F61C9C"/>
    <w:rsid w:val="00FB7F75"/>
    <w:rsid w:val="00FC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7304E"/>
    <w:pPr>
      <w:spacing w:after="0" w:line="240" w:lineRule="auto"/>
    </w:pPr>
    <w:rPr>
      <w:sz w:val="20"/>
      <w:szCs w:val="20"/>
    </w:rPr>
  </w:style>
  <w:style w:type="character" w:customStyle="1" w:styleId="FootnoteTextChar">
    <w:name w:val="Footnote Text Char"/>
    <w:basedOn w:val="DefaultParagraphFont"/>
    <w:link w:val="FootnoteText"/>
    <w:semiHidden/>
    <w:rsid w:val="0047304E"/>
    <w:rPr>
      <w:sz w:val="20"/>
      <w:szCs w:val="20"/>
    </w:rPr>
  </w:style>
  <w:style w:type="character" w:styleId="FootnoteReference">
    <w:name w:val="footnote reference"/>
    <w:basedOn w:val="DefaultParagraphFont"/>
    <w:semiHidden/>
    <w:unhideWhenUsed/>
    <w:rsid w:val="0047304E"/>
    <w:rPr>
      <w:vertAlign w:val="superscript"/>
    </w:rPr>
  </w:style>
  <w:style w:type="paragraph" w:styleId="Header">
    <w:name w:val="header"/>
    <w:basedOn w:val="Normal"/>
    <w:link w:val="HeaderChar"/>
    <w:uiPriority w:val="99"/>
    <w:unhideWhenUsed/>
    <w:rsid w:val="00847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B38"/>
  </w:style>
  <w:style w:type="paragraph" w:styleId="Footer">
    <w:name w:val="footer"/>
    <w:basedOn w:val="Normal"/>
    <w:link w:val="FooterChar"/>
    <w:unhideWhenUsed/>
    <w:rsid w:val="00847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B38"/>
  </w:style>
  <w:style w:type="paragraph" w:styleId="ListParagraph">
    <w:name w:val="List Paragraph"/>
    <w:basedOn w:val="Normal"/>
    <w:uiPriority w:val="34"/>
    <w:qFormat/>
    <w:rsid w:val="007743C1"/>
    <w:pPr>
      <w:ind w:left="720"/>
      <w:contextualSpacing/>
    </w:pPr>
  </w:style>
  <w:style w:type="paragraph" w:styleId="EndnoteText">
    <w:name w:val="endnote text"/>
    <w:basedOn w:val="Normal"/>
    <w:link w:val="EndnoteTextChar"/>
    <w:semiHidden/>
    <w:rsid w:val="00E679CB"/>
    <w:pPr>
      <w:spacing w:after="0" w:line="480" w:lineRule="auto"/>
    </w:pPr>
    <w:rPr>
      <w:rFonts w:ascii="Times New Roman" w:eastAsia="Times New Roman" w:hAnsi="Times New Roman" w:cs="Times New Roman"/>
      <w:sz w:val="20"/>
      <w:szCs w:val="20"/>
      <w:lang w:val="en-US" w:eastAsia="en-GB"/>
    </w:rPr>
  </w:style>
  <w:style w:type="character" w:customStyle="1" w:styleId="EndnoteTextChar">
    <w:name w:val="Endnote Text Char"/>
    <w:basedOn w:val="DefaultParagraphFont"/>
    <w:link w:val="EndnoteText"/>
    <w:semiHidden/>
    <w:rsid w:val="00E679CB"/>
    <w:rPr>
      <w:rFonts w:ascii="Times New Roman" w:eastAsia="Times New Roman" w:hAnsi="Times New Roman" w:cs="Times New Roman"/>
      <w:sz w:val="20"/>
      <w:szCs w:val="20"/>
      <w:lang w:val="en-US" w:eastAsia="en-GB"/>
    </w:rPr>
  </w:style>
  <w:style w:type="character" w:styleId="EndnoteReference">
    <w:name w:val="endnote reference"/>
    <w:basedOn w:val="DefaultParagraphFont"/>
    <w:semiHidden/>
    <w:rsid w:val="00E679CB"/>
    <w:rPr>
      <w:vertAlign w:val="superscript"/>
    </w:rPr>
  </w:style>
  <w:style w:type="character" w:styleId="Hyperlink">
    <w:name w:val="Hyperlink"/>
    <w:basedOn w:val="DefaultParagraphFont"/>
    <w:uiPriority w:val="99"/>
    <w:unhideWhenUsed/>
    <w:rsid w:val="00E70A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30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04E"/>
    <w:rPr>
      <w:sz w:val="20"/>
      <w:szCs w:val="20"/>
    </w:rPr>
  </w:style>
  <w:style w:type="character" w:styleId="FootnoteReference">
    <w:name w:val="footnote reference"/>
    <w:basedOn w:val="DefaultParagraphFont"/>
    <w:semiHidden/>
    <w:unhideWhenUsed/>
    <w:rsid w:val="0047304E"/>
    <w:rPr>
      <w:vertAlign w:val="superscript"/>
    </w:rPr>
  </w:style>
  <w:style w:type="paragraph" w:styleId="Header">
    <w:name w:val="header"/>
    <w:basedOn w:val="Normal"/>
    <w:link w:val="HeaderChar"/>
    <w:uiPriority w:val="99"/>
    <w:unhideWhenUsed/>
    <w:rsid w:val="00847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B38"/>
  </w:style>
  <w:style w:type="paragraph" w:styleId="Footer">
    <w:name w:val="footer"/>
    <w:basedOn w:val="Normal"/>
    <w:link w:val="FooterChar"/>
    <w:uiPriority w:val="99"/>
    <w:unhideWhenUsed/>
    <w:rsid w:val="00847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B38"/>
  </w:style>
  <w:style w:type="paragraph" w:styleId="ListParagraph">
    <w:name w:val="List Paragraph"/>
    <w:basedOn w:val="Normal"/>
    <w:uiPriority w:val="34"/>
    <w:qFormat/>
    <w:rsid w:val="007743C1"/>
    <w:pPr>
      <w:ind w:left="720"/>
      <w:contextualSpacing/>
    </w:pPr>
  </w:style>
  <w:style w:type="paragraph" w:styleId="EndnoteText">
    <w:name w:val="endnote text"/>
    <w:basedOn w:val="Normal"/>
    <w:link w:val="EndnoteTextChar"/>
    <w:semiHidden/>
    <w:rsid w:val="00E679CB"/>
    <w:pPr>
      <w:spacing w:after="0" w:line="480" w:lineRule="auto"/>
    </w:pPr>
    <w:rPr>
      <w:rFonts w:ascii="Times New Roman" w:eastAsia="Times New Roman" w:hAnsi="Times New Roman" w:cs="Times New Roman"/>
      <w:sz w:val="20"/>
      <w:szCs w:val="20"/>
      <w:lang w:val="en-US" w:eastAsia="en-GB"/>
    </w:rPr>
  </w:style>
  <w:style w:type="character" w:customStyle="1" w:styleId="EndnoteTextChar">
    <w:name w:val="Endnote Text Char"/>
    <w:basedOn w:val="DefaultParagraphFont"/>
    <w:link w:val="EndnoteText"/>
    <w:semiHidden/>
    <w:rsid w:val="00E679CB"/>
    <w:rPr>
      <w:rFonts w:ascii="Times New Roman" w:eastAsia="Times New Roman" w:hAnsi="Times New Roman" w:cs="Times New Roman"/>
      <w:sz w:val="20"/>
      <w:szCs w:val="20"/>
      <w:lang w:val="en-US" w:eastAsia="en-GB"/>
    </w:rPr>
  </w:style>
  <w:style w:type="character" w:styleId="EndnoteReference">
    <w:name w:val="endnote reference"/>
    <w:basedOn w:val="DefaultParagraphFont"/>
    <w:semiHidden/>
    <w:rsid w:val="00E679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69748">
      <w:bodyDiv w:val="1"/>
      <w:marLeft w:val="0"/>
      <w:marRight w:val="0"/>
      <w:marTop w:val="0"/>
      <w:marBottom w:val="0"/>
      <w:divBdr>
        <w:top w:val="none" w:sz="0" w:space="0" w:color="auto"/>
        <w:left w:val="none" w:sz="0" w:space="0" w:color="auto"/>
        <w:bottom w:val="none" w:sz="0" w:space="0" w:color="auto"/>
        <w:right w:val="none" w:sz="0" w:space="0" w:color="auto"/>
      </w:divBdr>
      <w:divsChild>
        <w:div w:id="592081933">
          <w:marLeft w:val="0"/>
          <w:marRight w:val="0"/>
          <w:marTop w:val="0"/>
          <w:marBottom w:val="0"/>
          <w:divBdr>
            <w:top w:val="none" w:sz="0" w:space="0" w:color="auto"/>
            <w:left w:val="none" w:sz="0" w:space="0" w:color="auto"/>
            <w:bottom w:val="none" w:sz="0" w:space="0" w:color="auto"/>
            <w:right w:val="none" w:sz="0" w:space="0" w:color="auto"/>
          </w:divBdr>
          <w:divsChild>
            <w:div w:id="828326928">
              <w:marLeft w:val="150"/>
              <w:marRight w:val="0"/>
              <w:marTop w:val="300"/>
              <w:marBottom w:val="0"/>
              <w:divBdr>
                <w:top w:val="none" w:sz="0" w:space="0" w:color="auto"/>
                <w:left w:val="none" w:sz="0" w:space="0" w:color="auto"/>
                <w:bottom w:val="none" w:sz="0" w:space="0" w:color="auto"/>
                <w:right w:val="none" w:sz="0" w:space="0" w:color="auto"/>
              </w:divBdr>
            </w:div>
          </w:divsChild>
        </w:div>
      </w:divsChild>
    </w:div>
    <w:div w:id="1623685383">
      <w:bodyDiv w:val="1"/>
      <w:marLeft w:val="0"/>
      <w:marRight w:val="0"/>
      <w:marTop w:val="0"/>
      <w:marBottom w:val="0"/>
      <w:divBdr>
        <w:top w:val="none" w:sz="0" w:space="0" w:color="auto"/>
        <w:left w:val="none" w:sz="0" w:space="0" w:color="auto"/>
        <w:bottom w:val="none" w:sz="0" w:space="0" w:color="auto"/>
        <w:right w:val="none" w:sz="0" w:space="0" w:color="auto"/>
      </w:divBdr>
      <w:divsChild>
        <w:div w:id="1440761937">
          <w:marLeft w:val="0"/>
          <w:marRight w:val="0"/>
          <w:marTop w:val="0"/>
          <w:marBottom w:val="0"/>
          <w:divBdr>
            <w:top w:val="none" w:sz="0" w:space="0" w:color="auto"/>
            <w:left w:val="none" w:sz="0" w:space="0" w:color="auto"/>
            <w:bottom w:val="none" w:sz="0" w:space="0" w:color="auto"/>
            <w:right w:val="none" w:sz="0" w:space="0" w:color="auto"/>
          </w:divBdr>
          <w:divsChild>
            <w:div w:id="2021738563">
              <w:marLeft w:val="15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D2B4-8498-4B36-8A71-019A2133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Alister</dc:creator>
  <cp:lastModifiedBy>Alister</cp:lastModifiedBy>
  <cp:revision>28</cp:revision>
  <cp:lastPrinted>2011-10-27T09:16:00Z</cp:lastPrinted>
  <dcterms:created xsi:type="dcterms:W3CDTF">2011-10-11T08:51:00Z</dcterms:created>
  <dcterms:modified xsi:type="dcterms:W3CDTF">2011-10-31T11:50:00Z</dcterms:modified>
</cp:coreProperties>
</file>